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olor w:val="000000"/>
          <w:sz w:val="32"/>
          <w:szCs w:val="32"/>
          <w:lang w:val="en-US" w:eastAsia="zh-CN"/>
        </w:rPr>
      </w:pPr>
      <w:bookmarkStart w:id="0" w:name="RANGE!A1:F32"/>
      <w:r>
        <w:rPr>
          <w:rFonts w:hint="eastAsia" w:ascii="黑体" w:hAnsi="黑体" w:eastAsia="黑体"/>
          <w:color w:val="000000"/>
          <w:sz w:val="32"/>
          <w:szCs w:val="32"/>
          <w:lang w:val="en-US" w:eastAsia="zh-CN"/>
        </w:rPr>
        <w:t>附件：</w:t>
      </w:r>
    </w:p>
    <w:p>
      <w:pPr>
        <w:jc w:val="center"/>
        <w:rPr>
          <w:rFonts w:hint="eastAsia" w:ascii="方正小标宋简体" w:eastAsia="方正小标宋简体"/>
          <w:color w:val="000000"/>
          <w:sz w:val="36"/>
          <w:szCs w:val="36"/>
          <w:lang w:eastAsia="zh-CN"/>
        </w:rPr>
      </w:pPr>
      <w:r>
        <w:rPr>
          <w:rFonts w:hint="eastAsia" w:ascii="方正小标宋简体" w:eastAsia="方正小标宋简体"/>
          <w:color w:val="000000"/>
          <w:sz w:val="36"/>
          <w:szCs w:val="36"/>
        </w:rPr>
        <w:t>《</w:t>
      </w:r>
      <w:r>
        <w:rPr>
          <w:rFonts w:hint="eastAsia" w:ascii="方正小标宋简体" w:eastAsia="方正小标宋简体"/>
          <w:color w:val="000000"/>
          <w:sz w:val="36"/>
          <w:szCs w:val="36"/>
          <w:lang w:eastAsia="zh-CN"/>
        </w:rPr>
        <w:t>外商投资股权投资企业试点办法</w:t>
      </w:r>
      <w:r>
        <w:rPr>
          <w:rFonts w:hint="eastAsia" w:ascii="方正小标宋简体" w:eastAsia="方正小标宋简体"/>
          <w:color w:val="000000"/>
          <w:sz w:val="36"/>
          <w:szCs w:val="36"/>
        </w:rPr>
        <w:t>》</w:t>
      </w:r>
      <w:r>
        <w:rPr>
          <w:rFonts w:hint="eastAsia" w:ascii="方正小标宋简体" w:eastAsia="方正小标宋简体"/>
          <w:color w:val="000000"/>
          <w:sz w:val="36"/>
          <w:szCs w:val="36"/>
          <w:lang w:eastAsia="zh-CN"/>
        </w:rPr>
        <w:t>（征求意见稿）</w:t>
      </w:r>
      <w:r>
        <w:rPr>
          <w:rFonts w:hint="eastAsia" w:ascii="方正小标宋简体" w:eastAsia="方正小标宋简体"/>
          <w:color w:val="000000"/>
          <w:sz w:val="36"/>
          <w:szCs w:val="36"/>
        </w:rPr>
        <w:t>意见采纳情况表</w:t>
      </w:r>
      <w:bookmarkEnd w:id="0"/>
    </w:p>
    <w:p/>
    <w:tbl>
      <w:tblPr>
        <w:tblStyle w:val="6"/>
        <w:tblW w:w="14845" w:type="dxa"/>
        <w:jc w:val="center"/>
        <w:tblLayout w:type="fixed"/>
        <w:tblCellMar>
          <w:top w:w="15" w:type="dxa"/>
          <w:left w:w="15" w:type="dxa"/>
          <w:bottom w:w="0" w:type="dxa"/>
          <w:right w:w="15" w:type="dxa"/>
        </w:tblCellMar>
      </w:tblPr>
      <w:tblGrid>
        <w:gridCol w:w="1413"/>
        <w:gridCol w:w="709"/>
        <w:gridCol w:w="4961"/>
        <w:gridCol w:w="1205"/>
        <w:gridCol w:w="1205"/>
        <w:gridCol w:w="5352"/>
      </w:tblGrid>
      <w:tr>
        <w:tblPrEx>
          <w:tblCellMar>
            <w:top w:w="15" w:type="dxa"/>
            <w:left w:w="15" w:type="dxa"/>
            <w:bottom w:w="0" w:type="dxa"/>
            <w:right w:w="15" w:type="dxa"/>
          </w:tblCellMar>
        </w:tblPrEx>
        <w:trPr>
          <w:trHeight w:val="668" w:hRule="atLeast"/>
          <w:tblHeader/>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楷体" w:eastAsia="仿宋_GB2312"/>
                <w:b/>
                <w:bCs/>
                <w:color w:val="000000"/>
                <w:sz w:val="28"/>
                <w:szCs w:val="28"/>
              </w:rPr>
            </w:pPr>
            <w:r>
              <w:rPr>
                <w:rFonts w:hint="eastAsia" w:ascii="仿宋_GB2312" w:hAnsi="楷体" w:eastAsia="仿宋_GB2312"/>
                <w:b/>
                <w:bCs/>
                <w:color w:val="000000"/>
                <w:sz w:val="28"/>
                <w:szCs w:val="28"/>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楷体" w:eastAsia="仿宋_GB2312"/>
                <w:b/>
                <w:bCs/>
                <w:color w:val="000000"/>
                <w:sz w:val="28"/>
                <w:szCs w:val="28"/>
              </w:rPr>
            </w:pPr>
            <w:r>
              <w:rPr>
                <w:rFonts w:hint="eastAsia" w:ascii="仿宋_GB2312" w:hAnsi="楷体" w:eastAsia="仿宋_GB2312"/>
                <w:b/>
                <w:bCs/>
                <w:color w:val="000000"/>
                <w:sz w:val="28"/>
                <w:szCs w:val="28"/>
              </w:rPr>
              <w:t>序号</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楷体" w:eastAsia="仿宋_GB2312"/>
                <w:b/>
                <w:bCs/>
                <w:color w:val="000000"/>
                <w:sz w:val="28"/>
                <w:szCs w:val="28"/>
              </w:rPr>
            </w:pPr>
            <w:r>
              <w:rPr>
                <w:rFonts w:hint="eastAsia" w:ascii="仿宋_GB2312" w:hAnsi="楷体" w:eastAsia="仿宋_GB2312"/>
                <w:b/>
                <w:bCs/>
                <w:color w:val="000000"/>
                <w:sz w:val="28"/>
                <w:szCs w:val="28"/>
              </w:rPr>
              <w:t>意见</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楷体" w:eastAsia="仿宋_GB2312"/>
                <w:b/>
                <w:bCs/>
                <w:color w:val="000000"/>
                <w:sz w:val="28"/>
                <w:szCs w:val="28"/>
              </w:rPr>
            </w:pPr>
            <w:r>
              <w:rPr>
                <w:rFonts w:hint="eastAsia" w:ascii="仿宋_GB2312" w:hAnsi="楷体" w:eastAsia="仿宋_GB2312"/>
                <w:b/>
                <w:bCs/>
                <w:color w:val="000000"/>
                <w:sz w:val="28"/>
                <w:szCs w:val="28"/>
              </w:rPr>
              <w:t>对应条目</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楷体" w:eastAsia="仿宋_GB2312"/>
                <w:b/>
                <w:bCs/>
                <w:color w:val="000000"/>
                <w:sz w:val="28"/>
                <w:szCs w:val="28"/>
              </w:rPr>
            </w:pPr>
            <w:r>
              <w:rPr>
                <w:rFonts w:hint="eastAsia" w:ascii="仿宋_GB2312" w:hAnsi="楷体" w:eastAsia="仿宋_GB2312"/>
                <w:b/>
                <w:bCs/>
                <w:color w:val="000000"/>
                <w:sz w:val="28"/>
                <w:szCs w:val="28"/>
              </w:rPr>
              <w:t>采纳情况</w:t>
            </w:r>
          </w:p>
        </w:tc>
        <w:tc>
          <w:tcPr>
            <w:tcW w:w="535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楷体" w:eastAsia="仿宋_GB2312"/>
                <w:b/>
                <w:bCs/>
                <w:color w:val="000000"/>
                <w:sz w:val="28"/>
                <w:szCs w:val="28"/>
              </w:rPr>
            </w:pPr>
            <w:r>
              <w:rPr>
                <w:rFonts w:hint="eastAsia" w:ascii="仿宋_GB2312" w:hAnsi="楷体" w:eastAsia="仿宋_GB2312"/>
                <w:b/>
                <w:bCs/>
                <w:color w:val="000000"/>
                <w:sz w:val="28"/>
                <w:szCs w:val="28"/>
              </w:rPr>
              <w:t>解释</w:t>
            </w:r>
          </w:p>
        </w:tc>
      </w:tr>
      <w:tr>
        <w:tblPrEx>
          <w:tblCellMar>
            <w:top w:w="15" w:type="dxa"/>
            <w:left w:w="15" w:type="dxa"/>
            <w:bottom w:w="0" w:type="dxa"/>
            <w:right w:w="15" w:type="dxa"/>
          </w:tblCellMar>
        </w:tblPrEx>
        <w:trPr>
          <w:trHeight w:val="280" w:hRule="atLeast"/>
          <w:jc w:val="center"/>
        </w:trPr>
        <w:tc>
          <w:tcPr>
            <w:tcW w:w="1413" w:type="dxa"/>
            <w:vMerge w:val="restart"/>
            <w:tcBorders>
              <w:top w:val="nil"/>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深圳市天使投资引导基金管理有限公司</w:t>
            </w: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val="en-US" w:eastAsia="zh-CN"/>
              </w:rPr>
              <w:t>1</w:t>
            </w:r>
          </w:p>
        </w:tc>
        <w:tc>
          <w:tcPr>
            <w:tcW w:w="4961"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进一步降低准入门槛</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第七条、第八条、第十六条等</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default"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eastAsia="zh-CN"/>
              </w:rPr>
              <w:t>认缴出资已从</w:t>
            </w:r>
            <w:r>
              <w:rPr>
                <w:rFonts w:hint="eastAsia" w:ascii="仿宋_GB2312" w:eastAsia="仿宋_GB2312"/>
                <w:color w:val="000000"/>
                <w:lang w:val="en-US" w:eastAsia="zh-CN"/>
              </w:rPr>
              <w:t>1500万美元进一步下降至600万美元。管理公司股东资质进一步放开。投资范围采用负面清单模式。</w:t>
            </w:r>
          </w:p>
        </w:tc>
      </w:tr>
      <w:tr>
        <w:tblPrEx>
          <w:tblCellMar>
            <w:top w:w="15" w:type="dxa"/>
            <w:left w:w="15" w:type="dxa"/>
            <w:bottom w:w="0" w:type="dxa"/>
            <w:right w:w="15" w:type="dxa"/>
          </w:tblCellMar>
        </w:tblPrEx>
        <w:trPr>
          <w:trHeight w:val="280" w:hRule="atLeast"/>
          <w:jc w:val="center"/>
        </w:trPr>
        <w:tc>
          <w:tcPr>
            <w:tcW w:w="1413"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4961"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仿宋_GB2312" w:eastAsia="仿宋_GB2312"/>
                <w:color w:val="000000"/>
                <w:lang w:eastAsia="zh-CN"/>
              </w:rPr>
            </w:pPr>
            <w:r>
              <w:rPr>
                <w:rFonts w:hint="eastAsia" w:ascii="仿宋_GB2312" w:eastAsia="仿宋_GB2312"/>
                <w:color w:val="000000"/>
                <w:lang w:eastAsia="zh-CN"/>
              </w:rPr>
              <w:t>进一步简化企业申请设立的审核程序</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审核程序将出台更加细化的实施细则</w:t>
            </w:r>
          </w:p>
        </w:tc>
      </w:tr>
      <w:tr>
        <w:tblPrEx>
          <w:tblCellMar>
            <w:top w:w="15" w:type="dxa"/>
            <w:left w:w="15" w:type="dxa"/>
            <w:bottom w:w="0" w:type="dxa"/>
            <w:right w:w="15" w:type="dxa"/>
          </w:tblCellMar>
        </w:tblPrEx>
        <w:trPr>
          <w:trHeight w:val="280" w:hRule="atLeast"/>
          <w:jc w:val="center"/>
        </w:trPr>
        <w:tc>
          <w:tcPr>
            <w:tcW w:w="1413" w:type="dxa"/>
            <w:vMerge w:val="restart"/>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前海万</w:t>
            </w:r>
            <w:bookmarkStart w:id="1" w:name="_GoBack"/>
            <w:bookmarkEnd w:id="1"/>
            <w:r>
              <w:rPr>
                <w:rFonts w:hint="eastAsia" w:ascii="仿宋_GB2312" w:eastAsia="仿宋_GB2312"/>
                <w:color w:val="000000"/>
                <w:lang w:eastAsia="zh-CN"/>
              </w:rPr>
              <w:t>汇股权投资管理（深圳）有限公司</w:t>
            </w: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1</w:t>
            </w:r>
          </w:p>
        </w:tc>
        <w:tc>
          <w:tcPr>
            <w:tcW w:w="4961"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ind w:firstLine="480" w:firstLineChars="200"/>
              <w:rPr>
                <w:rFonts w:ascii="仿宋_GB2312" w:hAnsi="方正小标宋_GBK" w:eastAsia="仿宋_GB2312" w:cs="方正小标宋_GBK"/>
                <w:b/>
                <w:sz w:val="28"/>
                <w:szCs w:val="32"/>
              </w:rPr>
            </w:pPr>
            <w:r>
              <w:rPr>
                <w:rFonts w:hint="eastAsia" w:ascii="仿宋_GB2312" w:eastAsia="仿宋_GB2312"/>
                <w:color w:val="000000"/>
                <w:lang w:eastAsia="zh-CN"/>
              </w:rPr>
              <w:t>建议允许在外地设立外商投资股权投资企业（QFLP基金）及纯内资基金</w:t>
            </w:r>
          </w:p>
          <w:p>
            <w:pPr>
              <w:spacing w:line="360" w:lineRule="exact"/>
              <w:jc w:val="left"/>
              <w:rPr>
                <w:rFonts w:hint="eastAsia" w:ascii="仿宋_GB2312" w:eastAsia="仿宋_GB2312"/>
                <w:color w:val="000000"/>
                <w:lang w:eastAsia="zh-CN"/>
              </w:rPr>
            </w:pP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第六条</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只要求管理公司或基金注册在深圳，并未限制注册在深圳的管理公司在异地设立基金。</w:t>
            </w:r>
          </w:p>
        </w:tc>
      </w:tr>
      <w:tr>
        <w:tblPrEx>
          <w:tblCellMar>
            <w:top w:w="15" w:type="dxa"/>
            <w:left w:w="15" w:type="dxa"/>
            <w:bottom w:w="0" w:type="dxa"/>
            <w:right w:w="15" w:type="dxa"/>
          </w:tblCellMar>
        </w:tblPrEx>
        <w:trPr>
          <w:trHeight w:val="280" w:hRule="atLeast"/>
          <w:jc w:val="center"/>
        </w:trPr>
        <w:tc>
          <w:tcPr>
            <w:tcW w:w="1413"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2</w:t>
            </w:r>
          </w:p>
        </w:tc>
        <w:tc>
          <w:tcPr>
            <w:tcW w:w="4961"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ind w:firstLine="480" w:firstLineChars="200"/>
              <w:rPr>
                <w:rFonts w:hint="eastAsia" w:ascii="仿宋_GB2312" w:eastAsia="仿宋_GB2312"/>
                <w:color w:val="000000"/>
                <w:lang w:eastAsia="zh-CN"/>
              </w:rPr>
            </w:pPr>
            <w:r>
              <w:rPr>
                <w:rFonts w:hint="eastAsia" w:ascii="仿宋_GB2312" w:eastAsia="仿宋_GB2312"/>
                <w:color w:val="000000"/>
                <w:lang w:eastAsia="zh-CN"/>
              </w:rPr>
              <w:t>建议进一步拓宽QFLP基金合格投资人的界定</w:t>
            </w:r>
          </w:p>
          <w:p>
            <w:pPr>
              <w:spacing w:line="360" w:lineRule="exact"/>
              <w:jc w:val="left"/>
              <w:rPr>
                <w:rFonts w:hint="eastAsia" w:ascii="仿宋_GB2312" w:eastAsia="仿宋_GB2312"/>
                <w:color w:val="000000"/>
                <w:lang w:eastAsia="zh-CN"/>
              </w:rPr>
            </w:pP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第十条</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笼统表示为外商投资股权投资企业的境内外投资人作为有限合伙人，应当符合《私募投资基金监督管理暂行办法》、中国证券投资基金业协会（以下称“基金业协会”）自律规则规定的合格投资者要求。</w:t>
            </w:r>
          </w:p>
        </w:tc>
      </w:tr>
      <w:tr>
        <w:tblPrEx>
          <w:tblCellMar>
            <w:top w:w="15" w:type="dxa"/>
            <w:left w:w="15" w:type="dxa"/>
            <w:bottom w:w="0" w:type="dxa"/>
            <w:right w:w="15" w:type="dxa"/>
          </w:tblCellMar>
        </w:tblPrEx>
        <w:trPr>
          <w:trHeight w:val="280" w:hRule="atLeast"/>
          <w:jc w:val="center"/>
        </w:trPr>
        <w:tc>
          <w:tcPr>
            <w:tcW w:w="1413"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ind w:firstLine="480" w:firstLineChars="200"/>
              <w:rPr>
                <w:rFonts w:hint="default" w:ascii="仿宋_GB2312" w:eastAsia="仿宋_GB2312"/>
                <w:color w:val="000000"/>
                <w:lang w:val="en-US" w:eastAsia="zh-CN"/>
              </w:rPr>
            </w:pPr>
            <w:r>
              <w:rPr>
                <w:rFonts w:hint="eastAsia" w:ascii="仿宋_GB2312" w:eastAsia="仿宋_GB2312"/>
                <w:color w:val="000000"/>
                <w:lang w:val="en-US" w:eastAsia="zh-CN"/>
              </w:rPr>
              <w:t>3</w:t>
            </w:r>
          </w:p>
        </w:tc>
        <w:tc>
          <w:tcPr>
            <w:tcW w:w="4961"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ind w:firstLine="480" w:firstLineChars="200"/>
              <w:rPr>
                <w:rFonts w:hint="eastAsia" w:ascii="仿宋_GB2312" w:eastAsia="仿宋_GB2312"/>
                <w:color w:val="000000"/>
                <w:lang w:eastAsia="zh-CN"/>
              </w:rPr>
            </w:pPr>
            <w:r>
              <w:rPr>
                <w:rFonts w:hint="eastAsia" w:ascii="仿宋_GB2312" w:eastAsia="仿宋_GB2312"/>
                <w:color w:val="000000"/>
                <w:lang w:eastAsia="zh-CN"/>
              </w:rPr>
              <w:t>建议允许投资粤港澳大湾区外的私募股权、创投基金</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第十七条</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已改为外商投资股权投资企业可参与投资内地私募股权投资基金和创业投资企业(基金)。</w:t>
            </w:r>
          </w:p>
        </w:tc>
      </w:tr>
      <w:tr>
        <w:tblPrEx>
          <w:tblCellMar>
            <w:top w:w="15" w:type="dxa"/>
            <w:left w:w="15" w:type="dxa"/>
            <w:bottom w:w="0" w:type="dxa"/>
            <w:right w:w="15" w:type="dxa"/>
          </w:tblCellMar>
        </w:tblPrEx>
        <w:trPr>
          <w:trHeight w:val="560" w:hRule="atLeast"/>
          <w:jc w:val="center"/>
        </w:trPr>
        <w:tc>
          <w:tcPr>
            <w:tcW w:w="1413" w:type="dxa"/>
            <w:vMerge w:val="restart"/>
            <w:tcBorders>
              <w:top w:val="nil"/>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集友股权</w:t>
            </w: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1</w:t>
            </w:r>
          </w:p>
        </w:tc>
        <w:tc>
          <w:tcPr>
            <w:tcW w:w="4961"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仿宋_GB2312" w:eastAsia="仿宋_GB2312"/>
                <w:color w:val="000000"/>
                <w:lang w:eastAsia="zh-CN"/>
              </w:rPr>
            </w:pPr>
            <w:r>
              <w:rPr>
                <w:rFonts w:hint="eastAsia" w:ascii="仿宋_GB2312" w:eastAsia="仿宋_GB2312"/>
                <w:color w:val="000000"/>
                <w:lang w:eastAsia="zh-CN"/>
              </w:rPr>
              <w:t>建议明确审核程序</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审核程序将出台更加细化的实施细则</w:t>
            </w:r>
          </w:p>
        </w:tc>
      </w:tr>
      <w:tr>
        <w:tblPrEx>
          <w:tblCellMar>
            <w:top w:w="15" w:type="dxa"/>
            <w:left w:w="15" w:type="dxa"/>
            <w:bottom w:w="0" w:type="dxa"/>
            <w:right w:w="15" w:type="dxa"/>
          </w:tblCellMar>
        </w:tblPrEx>
        <w:trPr>
          <w:trHeight w:val="560" w:hRule="atLeast"/>
          <w:jc w:val="center"/>
        </w:trPr>
        <w:tc>
          <w:tcPr>
            <w:tcW w:w="1413"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2</w:t>
            </w:r>
          </w:p>
        </w:tc>
        <w:tc>
          <w:tcPr>
            <w:tcW w:w="4961" w:type="dxa"/>
            <w:tcBorders>
              <w:top w:val="nil"/>
              <w:left w:val="nil"/>
              <w:bottom w:val="single" w:color="auto" w:sz="4" w:space="0"/>
              <w:right w:val="single" w:color="auto" w:sz="4" w:space="0"/>
            </w:tcBorders>
            <w:shd w:val="clear" w:color="auto" w:fill="auto"/>
            <w:vAlign w:val="center"/>
          </w:tcPr>
          <w:p>
            <w:pPr>
              <w:pStyle w:val="32"/>
              <w:spacing w:line="360" w:lineRule="auto"/>
              <w:ind w:left="0" w:leftChars="0" w:firstLine="0" w:firstLineChars="0"/>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建议二十八条中也增加减资的相关表述。</w:t>
            </w:r>
          </w:p>
          <w:p>
            <w:pPr>
              <w:spacing w:line="360" w:lineRule="exact"/>
              <w:jc w:val="left"/>
              <w:rPr>
                <w:rFonts w:hint="eastAsia" w:ascii="仿宋_GB2312" w:eastAsia="仿宋_GB2312"/>
                <w:color w:val="000000"/>
                <w:lang w:eastAsia="zh-CN"/>
              </w:rPr>
            </w:pP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rPr>
            </w:pPr>
            <w:r>
              <w:rPr>
                <w:rFonts w:hint="eastAsia" w:ascii="仿宋_GB2312" w:hAnsi="宋体" w:eastAsia="仿宋_GB2312" w:cs="宋体"/>
                <w:color w:val="000000"/>
                <w:sz w:val="24"/>
                <w:szCs w:val="24"/>
                <w:lang w:val="en-US" w:eastAsia="zh-CN" w:bidi="ar-SA"/>
              </w:rPr>
              <w:t>二十八条</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已增加相关表述。</w:t>
            </w:r>
          </w:p>
        </w:tc>
      </w:tr>
      <w:tr>
        <w:tblPrEx>
          <w:tblCellMar>
            <w:top w:w="15" w:type="dxa"/>
            <w:left w:w="15" w:type="dxa"/>
            <w:bottom w:w="0" w:type="dxa"/>
            <w:right w:w="15" w:type="dxa"/>
          </w:tblCellMar>
        </w:tblPrEx>
        <w:trPr>
          <w:trHeight w:val="560" w:hRule="atLeast"/>
          <w:jc w:val="center"/>
        </w:trPr>
        <w:tc>
          <w:tcPr>
            <w:tcW w:w="1413"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3</w:t>
            </w:r>
          </w:p>
        </w:tc>
        <w:tc>
          <w:tcPr>
            <w:tcW w:w="4961"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仿宋_GB2312" w:eastAsia="仿宋_GB2312"/>
                <w:color w:val="000000"/>
                <w:lang w:eastAsia="zh-CN"/>
              </w:rPr>
            </w:pPr>
            <w:r>
              <w:rPr>
                <w:rFonts w:hint="eastAsia" w:ascii="仿宋_GB2312" w:hAnsi="宋体" w:eastAsia="仿宋_GB2312" w:cs="宋体"/>
                <w:color w:val="000000"/>
                <w:sz w:val="24"/>
                <w:szCs w:val="24"/>
                <w:lang w:val="en-US" w:eastAsia="zh-CN" w:bidi="ar-SA"/>
              </w:rPr>
              <w:t>建议管理企业在全国有QFLP试点资格的城市均可申请设立外商投资股权投资企业，注册后向深圳联席小组备案。</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rPr>
            </w:pPr>
            <w:r>
              <w:rPr>
                <w:rFonts w:hint="eastAsia" w:ascii="仿宋_GB2312" w:eastAsia="仿宋_GB2312"/>
                <w:color w:val="000000"/>
                <w:lang w:val="en-US" w:eastAsia="zh-CN"/>
              </w:rPr>
              <w:t>第六条</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rPr>
            </w:pPr>
            <w:r>
              <w:rPr>
                <w:rFonts w:hint="eastAsia" w:ascii="仿宋_GB2312" w:eastAsia="仿宋_GB2312"/>
                <w:color w:val="000000"/>
                <w:lang w:eastAsia="zh-CN"/>
              </w:rPr>
              <w:t>只要求管理公司或基金注册在深圳，并未限制注册在深圳的管理公司在异地设立基金。</w:t>
            </w:r>
          </w:p>
        </w:tc>
      </w:tr>
      <w:tr>
        <w:tblPrEx>
          <w:tblCellMar>
            <w:top w:w="15" w:type="dxa"/>
            <w:left w:w="15" w:type="dxa"/>
            <w:bottom w:w="0" w:type="dxa"/>
            <w:right w:w="15" w:type="dxa"/>
          </w:tblCellMar>
        </w:tblPrEx>
        <w:trPr>
          <w:trHeight w:val="560" w:hRule="atLeast"/>
          <w:jc w:val="center"/>
        </w:trPr>
        <w:tc>
          <w:tcPr>
            <w:tcW w:w="1413"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p>
        </w:tc>
        <w:tc>
          <w:tcPr>
            <w:tcW w:w="709" w:type="dxa"/>
            <w:tcBorders>
              <w:top w:val="nil"/>
              <w:left w:val="nil"/>
              <w:bottom w:val="single" w:color="auto" w:sz="4" w:space="0"/>
              <w:right w:val="single" w:color="auto" w:sz="4" w:space="0"/>
            </w:tcBorders>
            <w:shd w:val="clear" w:color="auto" w:fill="auto"/>
            <w:vAlign w:val="center"/>
          </w:tcPr>
          <w:p>
            <w:pPr>
              <w:spacing w:line="3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4</w:t>
            </w:r>
          </w:p>
        </w:tc>
        <w:tc>
          <w:tcPr>
            <w:tcW w:w="4961"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建议每月固定时间召开联席小组会议，并告知管理企业，以便管理企业有计划的上报业务，加快审批效率，促进业务开展。</w:t>
            </w:r>
          </w:p>
          <w:p>
            <w:pPr>
              <w:spacing w:line="360" w:lineRule="exact"/>
              <w:jc w:val="left"/>
              <w:rPr>
                <w:rFonts w:hint="eastAsia" w:ascii="仿宋_GB2312" w:hAnsi="宋体" w:eastAsia="仿宋_GB2312" w:cs="宋体"/>
                <w:color w:val="000000"/>
                <w:sz w:val="24"/>
                <w:szCs w:val="24"/>
                <w:lang w:val="en-US" w:eastAsia="zh-CN" w:bidi="ar-SA"/>
              </w:rPr>
            </w:pP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w:t>
            </w:r>
          </w:p>
        </w:tc>
        <w:tc>
          <w:tcPr>
            <w:tcW w:w="1205"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color w:val="000000"/>
                <w:lang w:eastAsia="zh-CN"/>
              </w:rPr>
            </w:pPr>
            <w:r>
              <w:rPr>
                <w:rFonts w:hint="eastAsia" w:ascii="仿宋_GB2312" w:eastAsia="仿宋_GB2312"/>
                <w:color w:val="000000"/>
                <w:lang w:eastAsia="zh-CN"/>
              </w:rPr>
              <w:t>已采纳</w:t>
            </w:r>
          </w:p>
        </w:tc>
        <w:tc>
          <w:tcPr>
            <w:tcW w:w="535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仿宋_GB2312" w:eastAsia="仿宋_GB2312"/>
                <w:color w:val="000000"/>
                <w:lang w:eastAsia="zh-CN"/>
              </w:rPr>
            </w:pPr>
            <w:r>
              <w:rPr>
                <w:rFonts w:hint="eastAsia" w:ascii="仿宋_GB2312" w:eastAsia="仿宋_GB2312"/>
                <w:color w:val="000000"/>
                <w:lang w:eastAsia="zh-CN"/>
              </w:rPr>
              <w:t>审核程序将出台更加细化的实施细则</w:t>
            </w:r>
          </w:p>
        </w:tc>
      </w:tr>
      <w:tr>
        <w:tblPrEx>
          <w:tblCellMar>
            <w:top w:w="15" w:type="dxa"/>
            <w:left w:w="15" w:type="dxa"/>
            <w:bottom w:w="0" w:type="dxa"/>
            <w:right w:w="15" w:type="dxa"/>
          </w:tblCellMar>
        </w:tblPrEx>
        <w:trPr>
          <w:trHeight w:val="600" w:hRule="atLeast"/>
          <w:jc w:val="center"/>
        </w:trPr>
        <w:tc>
          <w:tcPr>
            <w:tcW w:w="1413" w:type="dxa"/>
            <w:vMerge w:val="restart"/>
            <w:tcBorders>
              <w:top w:val="single" w:color="auto" w:sz="4" w:space="0"/>
              <w:left w:val="single" w:color="auto" w:sz="4" w:space="0"/>
              <w:bottom w:val="nil"/>
              <w:right w:val="single" w:color="auto" w:sz="4" w:space="0"/>
            </w:tcBorders>
            <w:shd w:val="clear" w:color="auto" w:fill="auto"/>
            <w:vAlign w:val="center"/>
          </w:tcPr>
          <w:p>
            <w:pPr>
              <w:spacing w:line="360" w:lineRule="exact"/>
              <w:jc w:val="center"/>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交银国际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1</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建议提高QFLP管理人申请资格的门槛，保证QFLP业务长期可持续发展。</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第十一条</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未采纳</w:t>
            </w:r>
          </w:p>
        </w:tc>
        <w:tc>
          <w:tcPr>
            <w:tcW w:w="535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从鼓励业务发展的角度出发，将进一步降低准入门槛。</w:t>
            </w:r>
          </w:p>
        </w:tc>
      </w:tr>
      <w:tr>
        <w:tblPrEx>
          <w:tblCellMar>
            <w:top w:w="15" w:type="dxa"/>
            <w:left w:w="15" w:type="dxa"/>
            <w:bottom w:w="0" w:type="dxa"/>
            <w:right w:w="15" w:type="dxa"/>
          </w:tblCellMar>
        </w:tblPrEx>
        <w:trPr>
          <w:trHeight w:val="600" w:hRule="atLeast"/>
          <w:jc w:val="center"/>
        </w:trPr>
        <w:tc>
          <w:tcPr>
            <w:tcW w:w="1413" w:type="dxa"/>
            <w:vMerge w:val="continue"/>
            <w:tcBorders>
              <w:top w:val="nil"/>
              <w:left w:val="single" w:color="auto" w:sz="4" w:space="0"/>
              <w:bottom w:val="nil"/>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2</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建议FOF投资不限于粤港澳大湾区基金。</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第十七条</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已采纳</w:t>
            </w:r>
          </w:p>
        </w:tc>
        <w:tc>
          <w:tcPr>
            <w:tcW w:w="535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已改为外商投资股权投资企业可参与投资内地私募股权投资基金和创业投资企业(基金)。</w:t>
            </w:r>
          </w:p>
        </w:tc>
      </w:tr>
      <w:tr>
        <w:tblPrEx>
          <w:tblCellMar>
            <w:top w:w="15" w:type="dxa"/>
            <w:left w:w="15" w:type="dxa"/>
            <w:bottom w:w="0" w:type="dxa"/>
            <w:right w:w="15" w:type="dxa"/>
          </w:tblCellMar>
        </w:tblPrEx>
        <w:trPr>
          <w:trHeight w:val="600" w:hRule="atLeast"/>
          <w:jc w:val="center"/>
        </w:trPr>
        <w:tc>
          <w:tcPr>
            <w:tcW w:w="1413" w:type="dxa"/>
            <w:vMerge w:val="continue"/>
            <w:tcBorders>
              <w:top w:val="nil"/>
              <w:left w:val="single" w:color="auto" w:sz="4" w:space="0"/>
              <w:bottom w:val="nil"/>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default"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3</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建议通过发布“操作指引”等方式，明确申请设立、清算试点企业申请材料清单，便于展业机构准备材料。</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第二十条</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已采纳</w:t>
            </w:r>
          </w:p>
        </w:tc>
        <w:tc>
          <w:tcPr>
            <w:tcW w:w="535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将出台更加细化的实施细则。</w:t>
            </w:r>
          </w:p>
        </w:tc>
      </w:tr>
      <w:tr>
        <w:tblPrEx>
          <w:tblCellMar>
            <w:top w:w="15" w:type="dxa"/>
            <w:left w:w="15" w:type="dxa"/>
            <w:bottom w:w="0" w:type="dxa"/>
            <w:right w:w="15" w:type="dxa"/>
          </w:tblCellMar>
        </w:tblPrEx>
        <w:trPr>
          <w:trHeight w:val="600" w:hRule="atLeast"/>
          <w:jc w:val="center"/>
        </w:trPr>
        <w:tc>
          <w:tcPr>
            <w:tcW w:w="1413"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hint="default"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4</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如申报材料中需境外投资人公证材料，建议允许以“管理人承诺”等方式先行审批，将公证材料作为补充提供资料。</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w:t>
            </w:r>
          </w:p>
        </w:tc>
        <w:tc>
          <w:tcPr>
            <w:tcW w:w="12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已采纳</w:t>
            </w:r>
          </w:p>
        </w:tc>
        <w:tc>
          <w:tcPr>
            <w:tcW w:w="535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将出台更加细化的实施细则。</w:t>
            </w:r>
          </w:p>
        </w:tc>
      </w:tr>
    </w:tbl>
    <w:p>
      <w:pPr>
        <w:rPr>
          <w:rFonts w:ascii="仿宋_GB2312" w:eastAsia="仿宋_GB2312"/>
        </w:rPr>
      </w:pPr>
    </w:p>
    <w:sectPr>
      <w:footerReference r:id="rId3" w:type="default"/>
      <w:pgSz w:w="16838" w:h="11906" w:orient="landscape"/>
      <w:pgMar w:top="1418" w:right="1418" w:bottom="1418" w:left="1418" w:header="851" w:footer="992" w:gutter="0"/>
      <w:pgBorders>
        <w:top w:val="none" w:sz="0" w:space="0"/>
        <w:left w:val="none" w:sz="0" w:space="0"/>
        <w:bottom w:val="none" w:sz="0" w:space="0"/>
        <w:right w:val="none" w:sz="0" w:space="0"/>
      </w:pgBorders>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Arial" w:hAnsi="Arial" w:cs="Arial"/>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3C"/>
    <w:rsid w:val="0000139F"/>
    <w:rsid w:val="000A718B"/>
    <w:rsid w:val="000C27EF"/>
    <w:rsid w:val="001B0B2B"/>
    <w:rsid w:val="0020636C"/>
    <w:rsid w:val="002206D9"/>
    <w:rsid w:val="0024302C"/>
    <w:rsid w:val="002B0C89"/>
    <w:rsid w:val="003A5FB6"/>
    <w:rsid w:val="003D5215"/>
    <w:rsid w:val="00493F3B"/>
    <w:rsid w:val="004C3048"/>
    <w:rsid w:val="00522781"/>
    <w:rsid w:val="005E5C2B"/>
    <w:rsid w:val="0061357B"/>
    <w:rsid w:val="0062650D"/>
    <w:rsid w:val="006F55E2"/>
    <w:rsid w:val="00712889"/>
    <w:rsid w:val="00716DEC"/>
    <w:rsid w:val="007A61C8"/>
    <w:rsid w:val="007C2FB8"/>
    <w:rsid w:val="0085298F"/>
    <w:rsid w:val="00896D0C"/>
    <w:rsid w:val="009729B2"/>
    <w:rsid w:val="00A14BD3"/>
    <w:rsid w:val="00AB063F"/>
    <w:rsid w:val="00BA44A6"/>
    <w:rsid w:val="00CD7408"/>
    <w:rsid w:val="00D6573C"/>
    <w:rsid w:val="00E56D40"/>
    <w:rsid w:val="00ED5913"/>
    <w:rsid w:val="00F07EA4"/>
    <w:rsid w:val="00F53B2C"/>
    <w:rsid w:val="162B0B5D"/>
    <w:rsid w:val="21097A05"/>
    <w:rsid w:val="26121470"/>
    <w:rsid w:val="3AC8777C"/>
    <w:rsid w:val="47601BF6"/>
    <w:rsid w:val="47E32DAF"/>
    <w:rsid w:val="492A29E9"/>
    <w:rsid w:val="51495E55"/>
    <w:rsid w:val="52720128"/>
    <w:rsid w:val="5EC130DD"/>
    <w:rsid w:val="67EC61EF"/>
    <w:rsid w:val="6BA419C9"/>
    <w:rsid w:val="6F8D4639"/>
    <w:rsid w:val="78F17776"/>
    <w:rsid w:val="7D86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1"/>
    <w:semiHidden/>
    <w:unhideWhenUsed/>
    <w:qFormat/>
    <w:uiPriority w:val="99"/>
    <w:rPr>
      <w:sz w:val="18"/>
      <w:szCs w:val="18"/>
    </w:rPr>
  </w:style>
  <w:style w:type="paragraph" w:styleId="4">
    <w:name w:val="footer"/>
    <w:basedOn w:val="1"/>
    <w:link w:val="30"/>
    <w:unhideWhenUsed/>
    <w:qFormat/>
    <w:uiPriority w:val="99"/>
    <w:pPr>
      <w:tabs>
        <w:tab w:val="center" w:pos="4153"/>
        <w:tab w:val="right" w:pos="8306"/>
      </w:tabs>
      <w:snapToGrid w:val="0"/>
    </w:pPr>
    <w:rPr>
      <w:sz w:val="18"/>
      <w:szCs w:val="18"/>
    </w:rPr>
  </w:style>
  <w:style w:type="paragraph" w:styleId="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msonormal"/>
    <w:basedOn w:val="1"/>
    <w:qFormat/>
    <w:uiPriority w:val="0"/>
    <w:pPr>
      <w:spacing w:before="100" w:beforeAutospacing="1" w:after="100" w:afterAutospacing="1"/>
    </w:pPr>
  </w:style>
  <w:style w:type="paragraph" w:customStyle="1" w:styleId="9">
    <w:name w:val="font519736"/>
    <w:basedOn w:val="1"/>
    <w:qFormat/>
    <w:uiPriority w:val="0"/>
    <w:pPr>
      <w:spacing w:before="100" w:beforeAutospacing="1" w:after="100" w:afterAutospacing="1"/>
    </w:pPr>
    <w:rPr>
      <w:rFonts w:ascii="等线" w:hAnsi="等线" w:eastAsia="等线"/>
      <w:sz w:val="18"/>
      <w:szCs w:val="18"/>
    </w:rPr>
  </w:style>
  <w:style w:type="paragraph" w:customStyle="1" w:styleId="10">
    <w:name w:val="font619736"/>
    <w:basedOn w:val="1"/>
    <w:qFormat/>
    <w:uiPriority w:val="0"/>
    <w:pPr>
      <w:spacing w:before="100" w:beforeAutospacing="1" w:after="100" w:afterAutospacing="1"/>
    </w:pPr>
    <w:rPr>
      <w:color w:val="000000"/>
      <w:sz w:val="22"/>
      <w:szCs w:val="22"/>
    </w:rPr>
  </w:style>
  <w:style w:type="paragraph" w:customStyle="1" w:styleId="11">
    <w:name w:val="font719736"/>
    <w:basedOn w:val="1"/>
    <w:qFormat/>
    <w:uiPriority w:val="0"/>
    <w:pPr>
      <w:spacing w:before="100" w:beforeAutospacing="1" w:after="100" w:afterAutospacing="1"/>
    </w:pPr>
    <w:rPr>
      <w:sz w:val="22"/>
      <w:szCs w:val="22"/>
    </w:rPr>
  </w:style>
  <w:style w:type="paragraph" w:customStyle="1" w:styleId="12">
    <w:name w:val="xl6319736"/>
    <w:basedOn w:val="1"/>
    <w:qFormat/>
    <w:uiPriority w:val="0"/>
    <w:pPr>
      <w:spacing w:before="100" w:beforeAutospacing="1" w:after="100" w:afterAutospacing="1"/>
      <w:textAlignment w:val="bottom"/>
    </w:pPr>
    <w:rPr>
      <w:color w:val="000000"/>
      <w:sz w:val="22"/>
      <w:szCs w:val="22"/>
    </w:rPr>
  </w:style>
  <w:style w:type="paragraph" w:customStyle="1" w:styleId="13">
    <w:name w:val="xl64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color w:val="000000"/>
      <w:sz w:val="22"/>
      <w:szCs w:val="22"/>
    </w:rPr>
  </w:style>
  <w:style w:type="paragraph" w:customStyle="1" w:styleId="14">
    <w:name w:val="xl65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15">
    <w:name w:val="xl66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2"/>
      <w:szCs w:val="22"/>
    </w:rPr>
  </w:style>
  <w:style w:type="paragraph" w:customStyle="1" w:styleId="16">
    <w:name w:val="xl67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17">
    <w:name w:val="xl68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2"/>
      <w:szCs w:val="22"/>
    </w:rPr>
  </w:style>
  <w:style w:type="paragraph" w:customStyle="1" w:styleId="18">
    <w:name w:val="xl6919736"/>
    <w:basedOn w:val="1"/>
    <w:qFormat/>
    <w:uiPriority w:val="0"/>
    <w:pPr>
      <w:spacing w:before="100" w:beforeAutospacing="1" w:after="100" w:afterAutospacing="1"/>
      <w:jc w:val="center"/>
      <w:textAlignment w:val="center"/>
    </w:pPr>
    <w:rPr>
      <w:color w:val="000000"/>
      <w:sz w:val="22"/>
      <w:szCs w:val="22"/>
    </w:rPr>
  </w:style>
  <w:style w:type="paragraph" w:customStyle="1" w:styleId="19">
    <w:name w:val="xl7019736"/>
    <w:basedOn w:val="1"/>
    <w:qFormat/>
    <w:uiPriority w:val="0"/>
    <w:pPr>
      <w:spacing w:before="100" w:beforeAutospacing="1" w:after="100" w:afterAutospacing="1"/>
      <w:textAlignment w:val="bottom"/>
    </w:pPr>
    <w:rPr>
      <w:color w:val="000000"/>
      <w:sz w:val="22"/>
      <w:szCs w:val="22"/>
    </w:rPr>
  </w:style>
  <w:style w:type="paragraph" w:customStyle="1" w:styleId="20">
    <w:name w:val="xl7119736"/>
    <w:basedOn w:val="1"/>
    <w:qFormat/>
    <w:uiPriority w:val="0"/>
    <w:pPr>
      <w:spacing w:before="100" w:beforeAutospacing="1" w:after="100" w:afterAutospacing="1"/>
      <w:textAlignment w:val="bottom"/>
    </w:pPr>
    <w:rPr>
      <w:color w:val="000000"/>
      <w:sz w:val="22"/>
      <w:szCs w:val="22"/>
    </w:rPr>
  </w:style>
  <w:style w:type="paragraph" w:customStyle="1" w:styleId="21">
    <w:name w:val="xl72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color w:val="000000"/>
      <w:sz w:val="22"/>
      <w:szCs w:val="22"/>
    </w:rPr>
  </w:style>
  <w:style w:type="paragraph" w:customStyle="1" w:styleId="22">
    <w:name w:val="xl73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2"/>
      <w:szCs w:val="22"/>
    </w:rPr>
  </w:style>
  <w:style w:type="paragraph" w:customStyle="1" w:styleId="23">
    <w:name w:val="xl74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2"/>
      <w:szCs w:val="22"/>
    </w:rPr>
  </w:style>
  <w:style w:type="paragraph" w:customStyle="1" w:styleId="24">
    <w:name w:val="xl75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FF0000"/>
      <w:sz w:val="22"/>
      <w:szCs w:val="22"/>
    </w:rPr>
  </w:style>
  <w:style w:type="paragraph" w:customStyle="1" w:styleId="25">
    <w:name w:val="xl76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方正小标宋简体" w:eastAsia="方正小标宋简体"/>
      <w:color w:val="000000"/>
      <w:sz w:val="36"/>
      <w:szCs w:val="36"/>
    </w:rPr>
  </w:style>
  <w:style w:type="paragraph" w:customStyle="1" w:styleId="26">
    <w:name w:val="xl771973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方正小标宋简体" w:eastAsia="方正小标宋简体"/>
      <w:color w:val="000000"/>
      <w:sz w:val="36"/>
      <w:szCs w:val="36"/>
    </w:rPr>
  </w:style>
  <w:style w:type="paragraph" w:customStyle="1" w:styleId="27">
    <w:name w:val="xl7819736"/>
    <w:basedOn w:val="1"/>
    <w:qFormat/>
    <w:uiPriority w:val="0"/>
    <w:pPr>
      <w:pBdr>
        <w:left w:val="single" w:color="auto" w:sz="4" w:space="1"/>
        <w:right w:val="single" w:color="auto" w:sz="4" w:space="1"/>
      </w:pBdr>
      <w:spacing w:before="100" w:beforeAutospacing="1" w:after="100" w:afterAutospacing="1"/>
      <w:jc w:val="center"/>
      <w:textAlignment w:val="center"/>
    </w:pPr>
    <w:rPr>
      <w:color w:val="000000"/>
      <w:sz w:val="22"/>
      <w:szCs w:val="22"/>
    </w:rPr>
  </w:style>
  <w:style w:type="paragraph" w:customStyle="1" w:styleId="28">
    <w:name w:val="xl7919736"/>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character" w:customStyle="1" w:styleId="29">
    <w:name w:val="页眉 字符"/>
    <w:basedOn w:val="7"/>
    <w:link w:val="5"/>
    <w:qFormat/>
    <w:uiPriority w:val="99"/>
    <w:rPr>
      <w:rFonts w:ascii="宋体" w:hAnsi="宋体" w:eastAsia="宋体" w:cs="宋体"/>
      <w:sz w:val="18"/>
      <w:szCs w:val="18"/>
    </w:rPr>
  </w:style>
  <w:style w:type="character" w:customStyle="1" w:styleId="30">
    <w:name w:val="页脚 字符"/>
    <w:basedOn w:val="7"/>
    <w:link w:val="4"/>
    <w:qFormat/>
    <w:uiPriority w:val="99"/>
    <w:rPr>
      <w:rFonts w:ascii="宋体" w:hAnsi="宋体" w:eastAsia="宋体" w:cs="宋体"/>
      <w:sz w:val="18"/>
      <w:szCs w:val="18"/>
    </w:rPr>
  </w:style>
  <w:style w:type="character" w:customStyle="1" w:styleId="31">
    <w:name w:val="批注框文本 字符"/>
    <w:basedOn w:val="7"/>
    <w:link w:val="3"/>
    <w:semiHidden/>
    <w:qFormat/>
    <w:uiPriority w:val="99"/>
    <w:rPr>
      <w:rFonts w:ascii="宋体" w:hAnsi="宋体" w:eastAsia="宋体" w:cs="宋体"/>
      <w:sz w:val="18"/>
      <w:szCs w:val="18"/>
    </w:rPr>
  </w:style>
  <w:style w:type="paragraph" w:styleId="32">
    <w:name w:val="List Paragraph"/>
    <w:basedOn w:val="1"/>
    <w:qFormat/>
    <w:uiPriority w:val="34"/>
    <w:pPr>
      <w:ind w:firstLine="420"/>
    </w:pPr>
  </w:style>
  <w:style w:type="character" w:customStyle="1" w:styleId="33">
    <w:name w:val="sect2title1"/>
    <w:uiPriority w:val="0"/>
    <w:rPr>
      <w:rFonts w:hint="eastAsia" w:ascii="微软雅黑" w:hAnsi="微软雅黑" w:eastAsia="微软雅黑"/>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609</Words>
  <Characters>3474</Characters>
  <Lines>28</Lines>
  <Paragraphs>8</Paragraphs>
  <TotalTime>10</TotalTime>
  <ScaleCrop>false</ScaleCrop>
  <LinksUpToDate>false</LinksUpToDate>
  <CharactersWithSpaces>4075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2019-12-19T08:15:00Z</dcterms:created>
  <dc:creator>黄 子维</dc:creator>
  <cp:lastModifiedBy>鱼儿晒太阳</cp:lastModifiedBy>
  <cp:lastPrinted>2020-04-29T03:44:00Z</cp:lastPrinted>
  <dcterms:modified xsi:type="dcterms:W3CDTF">2020-11-26T02:30:54Z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