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60" w:lineRule="exact"/>
        <w:jc w:val="left"/>
        <w:rPr>
          <w:rFonts w:hint="eastAsia" w:ascii="黑体" w:hAnsi="黑体" w:eastAsia="黑体" w:cs="黑体"/>
          <w:sz w:val="32"/>
          <w:szCs w:val="32"/>
          <w:lang w:val="en-US" w:eastAsia="zh-CN"/>
        </w:rPr>
      </w:pP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《深圳市金融科技专项发展规划（2022-2025年）（公开征求意见稿）</w:t>
      </w:r>
      <w:r>
        <w:rPr>
          <w:rFonts w:hint="eastAsia" w:ascii="方正小标宋_GBK" w:hAnsi="方正小标宋_GBK" w:eastAsia="方正小标宋_GBK" w:cs="方正小标宋_GBK"/>
          <w:sz w:val="44"/>
          <w:szCs w:val="44"/>
          <w:lang w:eastAsia="zh-CN"/>
        </w:rPr>
        <w:t>》公开征求社会</w:t>
      </w:r>
      <w:r>
        <w:rPr>
          <w:rFonts w:hint="eastAsia" w:ascii="方正小标宋_GBK" w:hAnsi="方正小标宋_GBK" w:eastAsia="方正小标宋_GBK" w:cs="方正小标宋_GBK"/>
          <w:sz w:val="44"/>
          <w:szCs w:val="44"/>
        </w:rPr>
        <w:t>意见</w:t>
      </w:r>
      <w:r>
        <w:rPr>
          <w:rFonts w:hint="eastAsia" w:ascii="方正小标宋_GBK" w:hAnsi="方正小标宋_GBK" w:eastAsia="方正小标宋_GBK" w:cs="方正小标宋_GBK"/>
          <w:sz w:val="44"/>
          <w:szCs w:val="44"/>
          <w:lang w:eastAsia="zh-CN"/>
        </w:rPr>
        <w:t>采纳</w:t>
      </w:r>
      <w:r>
        <w:rPr>
          <w:rFonts w:hint="eastAsia" w:ascii="方正小标宋_GBK" w:hAnsi="方正小标宋_GBK" w:eastAsia="方正小标宋_GBK" w:cs="方正小标宋_GBK"/>
          <w:sz w:val="44"/>
          <w:szCs w:val="44"/>
        </w:rPr>
        <w:t>情况</w:t>
      </w:r>
      <w:r>
        <w:rPr>
          <w:rFonts w:hint="eastAsia" w:ascii="方正小标宋_GBK" w:hAnsi="方正小标宋_GBK" w:eastAsia="方正小标宋_GBK" w:cs="方正小标宋_GBK"/>
          <w:sz w:val="44"/>
          <w:szCs w:val="44"/>
          <w:lang w:eastAsia="zh-CN"/>
        </w:rPr>
        <w:t>表</w:t>
      </w:r>
    </w:p>
    <w:tbl>
      <w:tblPr>
        <w:tblStyle w:val="6"/>
        <w:tblW w:w="15468"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915"/>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86" w:type="dxa"/>
            <w:vAlign w:val="center"/>
          </w:tcPr>
          <w:p>
            <w:pPr>
              <w:spacing w:line="40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序号</w:t>
            </w:r>
          </w:p>
        </w:tc>
        <w:tc>
          <w:tcPr>
            <w:tcW w:w="12915" w:type="dxa"/>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反馈意见</w:t>
            </w:r>
          </w:p>
        </w:tc>
        <w:tc>
          <w:tcPr>
            <w:tcW w:w="1667" w:type="dxa"/>
          </w:tcPr>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886"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kern w:val="0"/>
                <w:sz w:val="32"/>
                <w:szCs w:val="32"/>
                <w:lang w:val="en-US" w:eastAsia="zh-CN" w:bidi="ar"/>
              </w:rPr>
              <w:t>1</w:t>
            </w:r>
          </w:p>
        </w:tc>
        <w:tc>
          <w:tcPr>
            <w:tcW w:w="1291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default" w:ascii="仿宋_GB2312" w:hAnsi="仿宋_GB2312" w:eastAsia="仿宋_GB2312" w:cs="仿宋_GB2312"/>
                <w:i w:val="0"/>
                <w:iCs w:val="0"/>
                <w:caps w:val="0"/>
                <w:color w:val="000000"/>
                <w:spacing w:val="0"/>
                <w:kern w:val="0"/>
                <w:sz w:val="32"/>
                <w:szCs w:val="32"/>
                <w:lang w:eastAsia="zh-CN" w:bidi="ar"/>
              </w:rPr>
              <w:t>在</w:t>
            </w:r>
            <w:r>
              <w:rPr>
                <w:rFonts w:hint="eastAsia" w:ascii="仿宋_GB2312" w:hAnsi="仿宋_GB2312" w:eastAsia="仿宋_GB2312" w:cs="仿宋_GB2312"/>
                <w:i w:val="0"/>
                <w:iCs w:val="0"/>
                <w:caps w:val="0"/>
                <w:color w:val="000000"/>
                <w:spacing w:val="0"/>
                <w:kern w:val="0"/>
                <w:sz w:val="32"/>
                <w:szCs w:val="32"/>
                <w:lang w:val="en-US" w:eastAsia="zh-CN" w:bidi="ar"/>
              </w:rPr>
              <w:t>“（四）支持金融科技技术研发应用</w:t>
            </w:r>
            <w:r>
              <w:rPr>
                <w:rFonts w:hint="default" w:ascii="仿宋_GB2312" w:hAnsi="仿宋_GB2312" w:eastAsia="仿宋_GB2312" w:cs="仿宋_GB2312"/>
                <w:i w:val="0"/>
                <w:iCs w:val="0"/>
                <w:caps w:val="0"/>
                <w:color w:val="000000"/>
                <w:spacing w:val="0"/>
                <w:kern w:val="0"/>
                <w:sz w:val="32"/>
                <w:szCs w:val="32"/>
                <w:lang w:eastAsia="zh-CN" w:bidi="ar"/>
              </w:rPr>
              <w:t>”中的“</w:t>
            </w:r>
            <w:r>
              <w:rPr>
                <w:rFonts w:hint="eastAsia" w:ascii="仿宋_GB2312" w:hAnsi="仿宋_GB2312" w:eastAsia="仿宋_GB2312" w:cs="仿宋_GB2312"/>
                <w:i w:val="0"/>
                <w:iCs w:val="0"/>
                <w:caps w:val="0"/>
                <w:color w:val="000000"/>
                <w:spacing w:val="0"/>
                <w:kern w:val="0"/>
                <w:sz w:val="32"/>
                <w:szCs w:val="32"/>
                <w:lang w:val="en-US" w:eastAsia="zh-CN" w:bidi="ar"/>
              </w:rPr>
              <w:t>3.鼓励新兴技术在金融领域加速落地</w:t>
            </w:r>
            <w:r>
              <w:rPr>
                <w:rFonts w:hint="default" w:ascii="仿宋_GB2312" w:hAnsi="仿宋_GB2312" w:eastAsia="仿宋_GB2312" w:cs="仿宋_GB2312"/>
                <w:i w:val="0"/>
                <w:iCs w:val="0"/>
                <w:caps w:val="0"/>
                <w:color w:val="000000"/>
                <w:spacing w:val="0"/>
                <w:kern w:val="0"/>
                <w:sz w:val="32"/>
                <w:szCs w:val="32"/>
                <w:lang w:eastAsia="zh-CN" w:bidi="ar"/>
              </w:rPr>
              <w:t>”部分，以及“</w:t>
            </w:r>
            <w:r>
              <w:rPr>
                <w:rFonts w:hint="eastAsia" w:ascii="仿宋_GB2312" w:hAnsi="仿宋_GB2312" w:eastAsia="仿宋_GB2312" w:cs="仿宋_GB2312"/>
                <w:i w:val="0"/>
                <w:iCs w:val="0"/>
                <w:caps w:val="0"/>
                <w:color w:val="000000"/>
                <w:spacing w:val="0"/>
                <w:kern w:val="0"/>
                <w:sz w:val="32"/>
                <w:szCs w:val="32"/>
                <w:lang w:val="en-US" w:eastAsia="zh-CN" w:bidi="ar"/>
              </w:rPr>
              <w:t>（三）营造良好环境</w:t>
            </w:r>
            <w:r>
              <w:rPr>
                <w:rFonts w:hint="default" w:ascii="仿宋_GB2312" w:hAnsi="仿宋_GB2312" w:eastAsia="仿宋_GB2312" w:cs="仿宋_GB2312"/>
                <w:i w:val="0"/>
                <w:iCs w:val="0"/>
                <w:caps w:val="0"/>
                <w:color w:val="000000"/>
                <w:spacing w:val="0"/>
                <w:kern w:val="0"/>
                <w:sz w:val="32"/>
                <w:szCs w:val="32"/>
                <w:lang w:eastAsia="zh-CN" w:bidi="ar"/>
              </w:rPr>
              <w:t>”中的“</w:t>
            </w:r>
            <w:r>
              <w:rPr>
                <w:rFonts w:hint="eastAsia" w:ascii="仿宋_GB2312" w:hAnsi="仿宋_GB2312" w:eastAsia="仿宋_GB2312" w:cs="仿宋_GB2312"/>
                <w:i w:val="0"/>
                <w:iCs w:val="0"/>
                <w:caps w:val="0"/>
                <w:color w:val="000000"/>
                <w:spacing w:val="0"/>
                <w:kern w:val="0"/>
                <w:sz w:val="32"/>
                <w:szCs w:val="32"/>
                <w:lang w:val="en-US" w:eastAsia="zh-CN" w:bidi="ar"/>
              </w:rPr>
              <w:t>1.完善公共服务体系</w:t>
            </w:r>
            <w:r>
              <w:rPr>
                <w:rFonts w:hint="default" w:ascii="仿宋_GB2312" w:hAnsi="仿宋_GB2312" w:eastAsia="仿宋_GB2312" w:cs="仿宋_GB2312"/>
                <w:i w:val="0"/>
                <w:iCs w:val="0"/>
                <w:caps w:val="0"/>
                <w:color w:val="000000"/>
                <w:spacing w:val="0"/>
                <w:kern w:val="0"/>
                <w:sz w:val="32"/>
                <w:szCs w:val="32"/>
                <w:lang w:eastAsia="zh-CN" w:bidi="ar"/>
              </w:rPr>
              <w:t>”部分，</w:t>
            </w:r>
            <w:r>
              <w:rPr>
                <w:rFonts w:hint="eastAsia" w:ascii="仿宋_GB2312" w:hAnsi="仿宋_GB2312" w:eastAsia="仿宋_GB2312" w:cs="仿宋_GB2312"/>
                <w:b/>
                <w:bCs/>
                <w:i w:val="0"/>
                <w:iCs w:val="0"/>
                <w:caps w:val="0"/>
                <w:color w:val="000000"/>
                <w:spacing w:val="0"/>
                <w:kern w:val="0"/>
                <w:sz w:val="32"/>
                <w:szCs w:val="32"/>
                <w:lang w:val="en-US" w:eastAsia="zh-CN" w:bidi="ar"/>
              </w:rPr>
              <w:t>建议</w:t>
            </w:r>
            <w:r>
              <w:rPr>
                <w:rFonts w:hint="eastAsia" w:ascii="仿宋_GB2312" w:hAnsi="仿宋_GB2312" w:eastAsia="仿宋_GB2312" w:cs="仿宋_GB2312"/>
                <w:i w:val="0"/>
                <w:iCs w:val="0"/>
                <w:caps w:val="0"/>
                <w:color w:val="000000"/>
                <w:spacing w:val="0"/>
                <w:kern w:val="0"/>
                <w:sz w:val="32"/>
                <w:szCs w:val="32"/>
                <w:lang w:val="en-US" w:eastAsia="zh-CN" w:bidi="ar"/>
              </w:rPr>
              <w:t>参考中国人民银行《金融科技发展规划（2022-2025年）》的有关规定，结合目前《中华人民共和国个人信息保护法》《中华人民共和国数据安全法》《中华人民共和国网络安全法》等要求，适当增加个人信息保护、数据安全及网络安全相关</w:t>
            </w:r>
            <w:r>
              <w:rPr>
                <w:rFonts w:hint="default" w:ascii="仿宋_GB2312" w:hAnsi="仿宋_GB2312" w:eastAsia="仿宋_GB2312" w:cs="仿宋_GB2312"/>
                <w:i w:val="0"/>
                <w:iCs w:val="0"/>
                <w:caps w:val="0"/>
                <w:color w:val="000000"/>
                <w:spacing w:val="0"/>
                <w:kern w:val="0"/>
                <w:sz w:val="32"/>
                <w:szCs w:val="32"/>
                <w:lang w:eastAsia="zh-CN" w:bidi="ar"/>
              </w:rPr>
              <w:t>内容</w:t>
            </w:r>
            <w:r>
              <w:rPr>
                <w:rFonts w:hint="eastAsia" w:ascii="仿宋_GB2312" w:hAnsi="仿宋_GB2312" w:eastAsia="仿宋_GB2312" w:cs="仿宋_GB2312"/>
                <w:i w:val="0"/>
                <w:iCs w:val="0"/>
                <w:caps w:val="0"/>
                <w:color w:val="000000"/>
                <w:spacing w:val="0"/>
                <w:kern w:val="0"/>
                <w:sz w:val="32"/>
                <w:szCs w:val="32"/>
                <w:lang w:val="en-US" w:eastAsia="zh-CN" w:bidi="ar"/>
              </w:rPr>
              <w:t>，明确金融科技发展中信息保护及数据安全等的重要性，便于金融科技企业树立正确认识，更好合规发展。</w:t>
            </w:r>
          </w:p>
        </w:tc>
        <w:tc>
          <w:tcPr>
            <w:tcW w:w="1667" w:type="dxa"/>
            <w:vAlign w:val="center"/>
          </w:tcPr>
          <w:p>
            <w:pPr>
              <w:spacing w:line="400" w:lineRule="exact"/>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default" w:ascii="仿宋_GB2312" w:hAnsi="仿宋_GB2312" w:eastAsia="仿宋_GB2312" w:cs="仿宋_GB2312"/>
                <w:b w:val="0"/>
                <w:bCs w:val="0"/>
                <w:i w:val="0"/>
                <w:iCs w:val="0"/>
                <w:caps w:val="0"/>
                <w:color w:val="000000"/>
                <w:spacing w:val="0"/>
                <w:kern w:val="0"/>
                <w:sz w:val="32"/>
                <w:szCs w:val="32"/>
                <w:lang w:val="en-US" w:eastAsia="zh-CN" w:bidi="ar"/>
              </w:rPr>
              <w:t>采纳</w:t>
            </w:r>
            <w:r>
              <w:rPr>
                <w:rFonts w:hint="default" w:ascii="仿宋_GB2312" w:hAnsi="仿宋_GB2312" w:eastAsia="仿宋_GB2312" w:cs="仿宋_GB2312"/>
                <w:b w:val="0"/>
                <w:bCs w:val="0"/>
                <w:i w:val="0"/>
                <w:iCs w:val="0"/>
                <w:caps w:val="0"/>
                <w:color w:val="000000"/>
                <w:spacing w:val="0"/>
                <w:kern w:val="0"/>
                <w:sz w:val="32"/>
                <w:szCs w:val="32"/>
                <w:lang w:eastAsia="zh-CN" w:bidi="ar"/>
              </w:rPr>
              <w:t>。</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将结合有关部门以及专家</w:t>
            </w:r>
            <w:r>
              <w:rPr>
                <w:rFonts w:hint="default" w:ascii="仿宋_GB2312" w:hAnsi="仿宋_GB2312" w:eastAsia="仿宋_GB2312" w:cs="仿宋_GB2312"/>
                <w:b w:val="0"/>
                <w:bCs w:val="0"/>
                <w:i w:val="0"/>
                <w:iCs w:val="0"/>
                <w:caps w:val="0"/>
                <w:color w:val="000000"/>
                <w:spacing w:val="0"/>
                <w:kern w:val="0"/>
                <w:sz w:val="32"/>
                <w:szCs w:val="32"/>
                <w:lang w:eastAsia="zh-CN" w:bidi="ar"/>
              </w:rPr>
              <w:t>论证会等</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意见</w:t>
            </w:r>
            <w:r>
              <w:rPr>
                <w:rFonts w:hint="default" w:ascii="仿宋_GB2312" w:hAnsi="仿宋_GB2312" w:eastAsia="仿宋_GB2312" w:cs="仿宋_GB2312"/>
                <w:b w:val="0"/>
                <w:bCs w:val="0"/>
                <w:i w:val="0"/>
                <w:iCs w:val="0"/>
                <w:caps w:val="0"/>
                <w:color w:val="000000"/>
                <w:spacing w:val="0"/>
                <w:kern w:val="0"/>
                <w:sz w:val="32"/>
                <w:szCs w:val="32"/>
                <w:lang w:val="en-US" w:eastAsia="zh-CN" w:bidi="ar"/>
              </w:rPr>
              <w:t>吸纳借鉴。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886" w:type="dxa"/>
            <w:vAlign w:val="center"/>
          </w:tcPr>
          <w:p>
            <w:pPr>
              <w:spacing w:line="400" w:lineRule="exact"/>
              <w:jc w:val="center"/>
              <w:rPr>
                <w:rFonts w:hint="eastAsia" w:ascii="仿宋_GB2312" w:hAnsi="仿宋_GB2312" w:eastAsia="仿宋_GB2312" w:cs="仿宋_GB2312"/>
                <w:spacing w:val="-6"/>
                <w:sz w:val="28"/>
                <w:szCs w:val="28"/>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tc>
        <w:tc>
          <w:tcPr>
            <w:tcW w:w="12915" w:type="dxa"/>
            <w:vAlign w:val="center"/>
          </w:tcPr>
          <w:p>
            <w:pPr>
              <w:spacing w:line="4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《专项规划》目前</w:t>
            </w:r>
            <w:r>
              <w:rPr>
                <w:rFonts w:hint="default" w:ascii="仿宋_GB2312" w:hAnsi="仿宋_GB2312" w:eastAsia="仿宋_GB2312" w:cs="仿宋_GB2312"/>
                <w:sz w:val="32"/>
                <w:szCs w:val="32"/>
                <w:lang w:eastAsia="zh-CN"/>
              </w:rPr>
              <w:t>没有</w:t>
            </w:r>
            <w:r>
              <w:rPr>
                <w:rFonts w:hint="eastAsia" w:ascii="仿宋_GB2312" w:hAnsi="仿宋_GB2312" w:eastAsia="仿宋_GB2312" w:cs="仿宋_GB2312"/>
                <w:sz w:val="32"/>
                <w:szCs w:val="32"/>
                <w:lang w:eastAsia="zh-CN"/>
              </w:rPr>
              <w:t>关于平台经济规范发展的明确规定，仅提出“支持持牌金融机构、大型互联网企业、专业中介机构等创新主体围绕金融科技关键环节，充分利用最新技术发展成果，聚焦具体场景和特色领域，建设软硬件配套齐全的金融科技基础设施。”。</w:t>
            </w:r>
            <w:r>
              <w:rPr>
                <w:rFonts w:hint="eastAsia" w:ascii="仿宋_GB2312" w:hAnsi="仿宋_GB2312" w:eastAsia="仿宋_GB2312" w:cs="仿宋_GB2312"/>
                <w:b/>
                <w:bCs/>
                <w:sz w:val="32"/>
                <w:szCs w:val="32"/>
                <w:lang w:eastAsia="zh-CN"/>
              </w:rPr>
              <w:t>建议</w:t>
            </w:r>
            <w:r>
              <w:rPr>
                <w:rFonts w:hint="eastAsia" w:ascii="仿宋_GB2312" w:hAnsi="仿宋_GB2312" w:eastAsia="仿宋_GB2312" w:cs="仿宋_GB2312"/>
                <w:sz w:val="32"/>
                <w:szCs w:val="32"/>
                <w:lang w:eastAsia="zh-CN"/>
              </w:rPr>
              <w:t>结合《国家发展改革委等部门关于推动平台经济规范健康持续发展的若干意见》等规定，增加平台经济规范发展相关内容，便于企业在金融科技发展中更好找准定位，推动合规发展。</w:t>
            </w:r>
          </w:p>
        </w:tc>
        <w:tc>
          <w:tcPr>
            <w:tcW w:w="1667"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i w:val="0"/>
                <w:iCs w:val="0"/>
                <w:caps w:val="0"/>
                <w:color w:val="000000"/>
                <w:spacing w:val="0"/>
                <w:kern w:val="0"/>
                <w:sz w:val="32"/>
                <w:szCs w:val="32"/>
                <w:lang w:val="en-US" w:eastAsia="zh-CN" w:bidi="ar"/>
              </w:rPr>
              <w:t>采纳。</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将结合有关部门以及专家</w:t>
            </w:r>
            <w:r>
              <w:rPr>
                <w:rFonts w:hint="default" w:ascii="仿宋_GB2312" w:hAnsi="仿宋_GB2312" w:eastAsia="仿宋_GB2312" w:cs="仿宋_GB2312"/>
                <w:b w:val="0"/>
                <w:bCs w:val="0"/>
                <w:i w:val="0"/>
                <w:iCs w:val="0"/>
                <w:caps w:val="0"/>
                <w:color w:val="000000"/>
                <w:spacing w:val="0"/>
                <w:kern w:val="0"/>
                <w:sz w:val="32"/>
                <w:szCs w:val="32"/>
                <w:lang w:eastAsia="zh-CN" w:bidi="ar"/>
              </w:rPr>
              <w:t>论证会等</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意见</w:t>
            </w:r>
            <w:r>
              <w:rPr>
                <w:rFonts w:hint="default" w:ascii="仿宋_GB2312" w:hAnsi="仿宋_GB2312" w:eastAsia="仿宋_GB2312" w:cs="仿宋_GB2312"/>
                <w:b w:val="0"/>
                <w:bCs w:val="0"/>
                <w:i w:val="0"/>
                <w:iCs w:val="0"/>
                <w:caps w:val="0"/>
                <w:color w:val="000000"/>
                <w:spacing w:val="0"/>
                <w:kern w:val="0"/>
                <w:sz w:val="32"/>
                <w:szCs w:val="32"/>
                <w:lang w:val="en-US" w:eastAsia="zh-CN" w:bidi="ar"/>
              </w:rPr>
              <w:t>吸纳借鉴。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886" w:type="dxa"/>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kern w:val="0"/>
                <w:sz w:val="32"/>
                <w:szCs w:val="32"/>
                <w:lang w:val="en-US" w:eastAsia="zh-CN" w:bidi="ar"/>
              </w:rPr>
              <w:t>3</w:t>
            </w:r>
          </w:p>
        </w:tc>
        <w:tc>
          <w:tcPr>
            <w:tcW w:w="12915" w:type="dxa"/>
            <w:vAlign w:val="center"/>
          </w:tcPr>
          <w:p>
            <w:pPr>
              <w:spacing w:line="400" w:lineRule="exact"/>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《专项规划》多次提到“</w:t>
            </w:r>
            <w:r>
              <w:rPr>
                <w:rFonts w:hint="default" w:ascii="仿宋_GB2312" w:hAnsi="仿宋_GB2312" w:eastAsia="仿宋_GB2312" w:cs="仿宋_GB2312"/>
                <w:b w:val="0"/>
                <w:bCs w:val="0"/>
                <w:sz w:val="32"/>
                <w:szCs w:val="32"/>
              </w:rPr>
              <w:t>社会资本”，比如</w:t>
            </w:r>
            <w:r>
              <w:rPr>
                <w:rFonts w:hint="eastAsia" w:ascii="仿宋_GB2312" w:hAnsi="仿宋_GB2312" w:eastAsia="仿宋_GB2312" w:cs="仿宋_GB2312"/>
                <w:b w:val="0"/>
                <w:bCs w:val="0"/>
                <w:sz w:val="32"/>
                <w:szCs w:val="32"/>
              </w:rPr>
              <w:t>“支持组建市场化的信创发展基金，鼓励社会资本投向信创产业的关键环节</w:t>
            </w:r>
            <w:r>
              <w:rPr>
                <w:rFonts w:hint="default"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引导更多社会资本参与金融科技基础研究与应用研究”</w:t>
            </w:r>
            <w:r>
              <w:rPr>
                <w:rFonts w:hint="default" w:ascii="仿宋_GB2312" w:hAnsi="仿宋_GB2312" w:eastAsia="仿宋_GB2312" w:cs="仿宋_GB2312"/>
                <w:b w:val="0"/>
                <w:bCs w:val="0"/>
                <w:sz w:val="32"/>
                <w:szCs w:val="32"/>
              </w:rPr>
              <w:t>等，</w:t>
            </w:r>
            <w:r>
              <w:rPr>
                <w:rFonts w:hint="eastAsia" w:ascii="仿宋_GB2312" w:hAnsi="仿宋_GB2312" w:eastAsia="仿宋_GB2312" w:cs="仿宋_GB2312"/>
                <w:b/>
                <w:bCs/>
                <w:sz w:val="32"/>
                <w:szCs w:val="32"/>
              </w:rPr>
              <w:t>建议</w:t>
            </w:r>
            <w:r>
              <w:rPr>
                <w:rFonts w:hint="eastAsia" w:ascii="仿宋_GB2312" w:hAnsi="仿宋_GB2312" w:eastAsia="仿宋_GB2312" w:cs="仿宋_GB2312"/>
                <w:b w:val="0"/>
                <w:bCs w:val="0"/>
                <w:sz w:val="32"/>
                <w:szCs w:val="32"/>
              </w:rPr>
              <w:t>明确“社会资本”的范畴包括“境内外社会资本”，</w:t>
            </w:r>
            <w:r>
              <w:rPr>
                <w:rFonts w:hint="default" w:ascii="仿宋_GB2312" w:hAnsi="仿宋_GB2312" w:eastAsia="仿宋_GB2312" w:cs="仿宋_GB2312"/>
                <w:b w:val="0"/>
                <w:bCs w:val="0"/>
                <w:sz w:val="32"/>
                <w:szCs w:val="32"/>
              </w:rPr>
              <w:t>即</w:t>
            </w:r>
            <w:r>
              <w:rPr>
                <w:rFonts w:hint="eastAsia" w:ascii="仿宋_GB2312" w:hAnsi="仿宋_GB2312" w:eastAsia="仿宋_GB2312" w:cs="仿宋_GB2312"/>
                <w:b w:val="0"/>
                <w:bCs w:val="0"/>
                <w:sz w:val="32"/>
                <w:szCs w:val="32"/>
              </w:rPr>
              <w:t>国际资本可参与金融科技建设。</w:t>
            </w:r>
          </w:p>
        </w:tc>
        <w:tc>
          <w:tcPr>
            <w:tcW w:w="1667" w:type="dxa"/>
            <w:vAlign w:val="center"/>
          </w:tcPr>
          <w:p>
            <w:pPr>
              <w:spacing w:line="400" w:lineRule="exact"/>
              <w:rPr>
                <w:rFonts w:hint="eastAsia" w:ascii="仿宋_GB2312" w:hAnsi="仿宋_GB2312" w:eastAsia="仿宋_GB2312" w:cs="仿宋_GB2312"/>
                <w:b w:val="0"/>
                <w:bCs w:val="0"/>
                <w:i w:val="0"/>
                <w:iCs w:val="0"/>
                <w:caps w:val="0"/>
                <w:color w:val="000000"/>
                <w:spacing w:val="0"/>
                <w:kern w:val="0"/>
                <w:sz w:val="32"/>
                <w:szCs w:val="32"/>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lang w:val="en-US" w:eastAsia="zh-CN" w:bidi="ar"/>
              </w:rPr>
              <w:t>采纳。</w:t>
            </w:r>
            <w:r>
              <w:rPr>
                <w:rFonts w:hint="default" w:ascii="仿宋_GB2312" w:hAnsi="仿宋_GB2312" w:eastAsia="仿宋_GB2312" w:cs="仿宋_GB2312"/>
                <w:b w:val="0"/>
                <w:bCs w:val="0"/>
                <w:i w:val="0"/>
                <w:iCs w:val="0"/>
                <w:caps w:val="0"/>
                <w:color w:val="000000"/>
                <w:spacing w:val="0"/>
                <w:kern w:val="0"/>
                <w:sz w:val="32"/>
                <w:szCs w:val="32"/>
                <w:lang w:eastAsia="zh-CN" w:bidi="ar"/>
              </w:rPr>
              <w:t>修改</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完善相关表述。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86" w:type="dxa"/>
            <w:vAlign w:val="center"/>
          </w:tcPr>
          <w:p>
            <w:pPr>
              <w:spacing w:line="400" w:lineRule="exact"/>
              <w:jc w:val="center"/>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4</w:t>
            </w:r>
          </w:p>
        </w:tc>
        <w:tc>
          <w:tcPr>
            <w:tcW w:w="12915" w:type="dxa"/>
            <w:vAlign w:val="center"/>
          </w:tcPr>
          <w:p>
            <w:pPr>
              <w:spacing w:line="400" w:lineRule="exact"/>
              <w:rPr>
                <w:rFonts w:hint="eastAsia" w:ascii="仿宋_GB2312" w:hAnsi="仿宋_GB2312" w:eastAsia="仿宋_GB2312" w:cs="仿宋_GB2312"/>
                <w:i w:val="0"/>
                <w:iCs w:val="0"/>
                <w:caps w:val="0"/>
                <w:color w:val="000000"/>
                <w:spacing w:val="0"/>
                <w:kern w:val="0"/>
                <w:sz w:val="32"/>
                <w:szCs w:val="32"/>
                <w:lang w:val="en-US" w:eastAsia="zh-CN" w:bidi="ar"/>
              </w:rPr>
            </w:pPr>
            <w:r>
              <w:rPr>
                <w:rFonts w:hint="default" w:ascii="仿宋_GB2312" w:hAnsi="仿宋_GB2312" w:eastAsia="仿宋_GB2312" w:cs="仿宋_GB2312"/>
                <w:i w:val="0"/>
                <w:iCs w:val="0"/>
                <w:caps w:val="0"/>
                <w:color w:val="000000"/>
                <w:spacing w:val="0"/>
                <w:kern w:val="0"/>
                <w:sz w:val="32"/>
                <w:szCs w:val="32"/>
                <w:lang w:eastAsia="zh-CN" w:bidi="ar"/>
              </w:rPr>
              <w:t>《专项规划》在</w:t>
            </w:r>
            <w:r>
              <w:rPr>
                <w:rFonts w:hint="eastAsia" w:ascii="仿宋_GB2312" w:hAnsi="仿宋_GB2312" w:eastAsia="仿宋_GB2312" w:cs="仿宋_GB2312"/>
                <w:i w:val="0"/>
                <w:iCs w:val="0"/>
                <w:caps w:val="0"/>
                <w:color w:val="000000"/>
                <w:spacing w:val="0"/>
                <w:kern w:val="0"/>
                <w:sz w:val="32"/>
                <w:szCs w:val="32"/>
                <w:lang w:val="en-US" w:eastAsia="zh-CN" w:bidi="ar"/>
              </w:rPr>
              <w:t>“（三）营造良好环境 1.完善公共服务体系</w:t>
            </w:r>
            <w:r>
              <w:rPr>
                <w:rFonts w:hint="default" w:ascii="仿宋_GB2312" w:hAnsi="仿宋_GB2312" w:eastAsia="仿宋_GB2312" w:cs="仿宋_GB2312"/>
                <w:i w:val="0"/>
                <w:iCs w:val="0"/>
                <w:caps w:val="0"/>
                <w:color w:val="000000"/>
                <w:spacing w:val="0"/>
                <w:kern w:val="0"/>
                <w:sz w:val="32"/>
                <w:szCs w:val="32"/>
                <w:lang w:eastAsia="zh-CN" w:bidi="ar"/>
              </w:rPr>
              <w:t>”部分，提到“</w:t>
            </w:r>
            <w:r>
              <w:rPr>
                <w:rFonts w:hint="eastAsia" w:ascii="仿宋_GB2312" w:hAnsi="仿宋_GB2312" w:eastAsia="仿宋_GB2312" w:cs="仿宋_GB2312"/>
                <w:i w:val="0"/>
                <w:iCs w:val="0"/>
                <w:caps w:val="0"/>
                <w:color w:val="000000"/>
                <w:spacing w:val="0"/>
                <w:kern w:val="0"/>
                <w:sz w:val="32"/>
                <w:szCs w:val="32"/>
                <w:lang w:val="en-US" w:eastAsia="zh-CN" w:bidi="ar"/>
              </w:rPr>
              <w:t>鼓励会计、法律、咨询、评估、评级等中介机构专</w:t>
            </w:r>
            <w:bookmarkStart w:id="0" w:name="_GoBack"/>
            <w:bookmarkEnd w:id="0"/>
            <w:r>
              <w:rPr>
                <w:rFonts w:hint="eastAsia" w:ascii="仿宋_GB2312" w:hAnsi="仿宋_GB2312" w:eastAsia="仿宋_GB2312" w:cs="仿宋_GB2312"/>
                <w:i w:val="0"/>
                <w:iCs w:val="0"/>
                <w:caps w:val="0"/>
                <w:color w:val="000000"/>
                <w:spacing w:val="0"/>
                <w:kern w:val="0"/>
                <w:sz w:val="32"/>
                <w:szCs w:val="32"/>
                <w:lang w:val="en-US" w:eastAsia="zh-CN" w:bidi="ar"/>
              </w:rPr>
              <w:t>业化、高端化发展，为金融科技类企业提供优质的专业服务。”但未体现相关配套要求，</w:t>
            </w:r>
            <w:r>
              <w:rPr>
                <w:rFonts w:hint="eastAsia" w:ascii="仿宋_GB2312" w:hAnsi="仿宋_GB2312" w:eastAsia="仿宋_GB2312" w:cs="仿宋_GB2312"/>
                <w:b/>
                <w:bCs/>
                <w:i w:val="0"/>
                <w:iCs w:val="0"/>
                <w:caps w:val="0"/>
                <w:color w:val="000000"/>
                <w:spacing w:val="0"/>
                <w:kern w:val="0"/>
                <w:sz w:val="32"/>
                <w:szCs w:val="32"/>
                <w:lang w:val="en-US" w:eastAsia="zh-CN" w:bidi="ar"/>
              </w:rPr>
              <w:t>建议</w:t>
            </w:r>
            <w:r>
              <w:rPr>
                <w:rFonts w:hint="eastAsia" w:ascii="仿宋_GB2312" w:hAnsi="仿宋_GB2312" w:eastAsia="仿宋_GB2312" w:cs="仿宋_GB2312"/>
                <w:i w:val="0"/>
                <w:iCs w:val="0"/>
                <w:caps w:val="0"/>
                <w:color w:val="000000"/>
                <w:spacing w:val="0"/>
                <w:kern w:val="0"/>
                <w:sz w:val="32"/>
                <w:szCs w:val="32"/>
                <w:lang w:val="en-US" w:eastAsia="zh-CN" w:bidi="ar"/>
              </w:rPr>
              <w:t>考虑增加相关配套规划，如鼓励设立金融科技服务行业协会并建立相关自律机制等，或对高端化的具体涵义予以明确，以便于中介机构进一步提升服务能力，更好为金融科技类企业提供优质专业服务。</w:t>
            </w:r>
          </w:p>
        </w:tc>
        <w:tc>
          <w:tcPr>
            <w:tcW w:w="1667" w:type="dxa"/>
            <w:vAlign w:val="center"/>
          </w:tcPr>
          <w:p>
            <w:pPr>
              <w:spacing w:line="400" w:lineRule="exac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i w:val="0"/>
                <w:iCs w:val="0"/>
                <w:caps w:val="0"/>
                <w:color w:val="000000"/>
                <w:spacing w:val="0"/>
                <w:kern w:val="0"/>
                <w:sz w:val="32"/>
                <w:szCs w:val="32"/>
                <w:lang w:val="en-US" w:eastAsia="zh-CN" w:bidi="ar"/>
              </w:rPr>
              <w:t>采纳。</w:t>
            </w:r>
            <w:r>
              <w:rPr>
                <w:rFonts w:hint="default" w:ascii="仿宋_GB2312" w:hAnsi="仿宋_GB2312" w:eastAsia="仿宋_GB2312" w:cs="仿宋_GB2312"/>
                <w:b w:val="0"/>
                <w:bCs w:val="0"/>
                <w:i w:val="0"/>
                <w:iCs w:val="0"/>
                <w:caps w:val="0"/>
                <w:color w:val="000000"/>
                <w:spacing w:val="0"/>
                <w:kern w:val="0"/>
                <w:sz w:val="32"/>
                <w:szCs w:val="32"/>
                <w:lang w:eastAsia="zh-CN" w:bidi="ar"/>
              </w:rPr>
              <w:t>将</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结合有关部门及专家</w:t>
            </w:r>
            <w:r>
              <w:rPr>
                <w:rFonts w:hint="default" w:ascii="仿宋_GB2312" w:hAnsi="仿宋_GB2312" w:eastAsia="仿宋_GB2312" w:cs="仿宋_GB2312"/>
                <w:b w:val="0"/>
                <w:bCs w:val="0"/>
                <w:i w:val="0"/>
                <w:iCs w:val="0"/>
                <w:caps w:val="0"/>
                <w:color w:val="000000"/>
                <w:spacing w:val="0"/>
                <w:kern w:val="0"/>
                <w:sz w:val="32"/>
                <w:szCs w:val="32"/>
                <w:lang w:eastAsia="zh-CN" w:bidi="ar"/>
              </w:rPr>
              <w:t>咨询论证会</w:t>
            </w:r>
            <w:r>
              <w:rPr>
                <w:rFonts w:hint="eastAsia" w:ascii="仿宋_GB2312" w:hAnsi="仿宋_GB2312" w:eastAsia="仿宋_GB2312" w:cs="仿宋_GB2312"/>
                <w:b w:val="0"/>
                <w:bCs w:val="0"/>
                <w:i w:val="0"/>
                <w:iCs w:val="0"/>
                <w:caps w:val="0"/>
                <w:color w:val="000000"/>
                <w:spacing w:val="0"/>
                <w:kern w:val="0"/>
                <w:sz w:val="32"/>
                <w:szCs w:val="32"/>
                <w:lang w:val="en-US" w:eastAsia="zh-CN" w:bidi="ar"/>
              </w:rPr>
              <w:t>意见</w:t>
            </w:r>
            <w:r>
              <w:rPr>
                <w:rFonts w:hint="default" w:ascii="仿宋_GB2312" w:hAnsi="仿宋_GB2312" w:eastAsia="仿宋_GB2312" w:cs="仿宋_GB2312"/>
                <w:b w:val="0"/>
                <w:bCs w:val="0"/>
                <w:i w:val="0"/>
                <w:iCs w:val="0"/>
                <w:caps w:val="0"/>
                <w:color w:val="000000"/>
                <w:spacing w:val="0"/>
                <w:kern w:val="0"/>
                <w:sz w:val="32"/>
                <w:szCs w:val="32"/>
                <w:lang w:val="en-US" w:eastAsia="zh-CN" w:bidi="ar"/>
              </w:rPr>
              <w:t>吸纳借鉴。</w:t>
            </w:r>
          </w:p>
        </w:tc>
      </w:tr>
    </w:tbl>
    <w:p>
      <w:pPr>
        <w:spacing w:line="560" w:lineRule="exact"/>
        <w:rPr>
          <w:rFonts w:ascii="仿宋_GB2312" w:eastAsia="仿宋_GB2312"/>
          <w:sz w:val="32"/>
          <w:szCs w:val="32"/>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ZmM4MDY4NjViMTM1ZjVlYTg4MGI4NGUwNTA2MGUifQ=="/>
  </w:docVars>
  <w:rsids>
    <w:rsidRoot w:val="00584A48"/>
    <w:rsid w:val="0006776F"/>
    <w:rsid w:val="000D042A"/>
    <w:rsid w:val="0016601D"/>
    <w:rsid w:val="00174D4F"/>
    <w:rsid w:val="001D0C17"/>
    <w:rsid w:val="001F6508"/>
    <w:rsid w:val="002D0525"/>
    <w:rsid w:val="003621DC"/>
    <w:rsid w:val="00376140"/>
    <w:rsid w:val="00391D1F"/>
    <w:rsid w:val="003D6B21"/>
    <w:rsid w:val="00490543"/>
    <w:rsid w:val="00584A48"/>
    <w:rsid w:val="005950F1"/>
    <w:rsid w:val="005B5462"/>
    <w:rsid w:val="005C5545"/>
    <w:rsid w:val="005C7023"/>
    <w:rsid w:val="006054EB"/>
    <w:rsid w:val="006121DA"/>
    <w:rsid w:val="006237F2"/>
    <w:rsid w:val="0066085C"/>
    <w:rsid w:val="006F4CA5"/>
    <w:rsid w:val="007504AD"/>
    <w:rsid w:val="007E7FF4"/>
    <w:rsid w:val="0081621C"/>
    <w:rsid w:val="00820C6A"/>
    <w:rsid w:val="008276F0"/>
    <w:rsid w:val="00885814"/>
    <w:rsid w:val="008D2C86"/>
    <w:rsid w:val="008D51D2"/>
    <w:rsid w:val="00994EEF"/>
    <w:rsid w:val="009E0057"/>
    <w:rsid w:val="00A03B1B"/>
    <w:rsid w:val="00A56019"/>
    <w:rsid w:val="00A8542A"/>
    <w:rsid w:val="00BB5F32"/>
    <w:rsid w:val="00BC585F"/>
    <w:rsid w:val="00BD1AFB"/>
    <w:rsid w:val="00C023BB"/>
    <w:rsid w:val="00C60EF4"/>
    <w:rsid w:val="00D20E69"/>
    <w:rsid w:val="00D34BF9"/>
    <w:rsid w:val="00D734D4"/>
    <w:rsid w:val="00D96528"/>
    <w:rsid w:val="00DF21C9"/>
    <w:rsid w:val="00E54250"/>
    <w:rsid w:val="00E64C3A"/>
    <w:rsid w:val="00E65E49"/>
    <w:rsid w:val="00EE7337"/>
    <w:rsid w:val="00F01803"/>
    <w:rsid w:val="00F1443F"/>
    <w:rsid w:val="00F62C46"/>
    <w:rsid w:val="09B76A12"/>
    <w:rsid w:val="0EE128CF"/>
    <w:rsid w:val="0F7121FF"/>
    <w:rsid w:val="1A844200"/>
    <w:rsid w:val="1BDC2CB8"/>
    <w:rsid w:val="207C6B4D"/>
    <w:rsid w:val="20B77266"/>
    <w:rsid w:val="277FDEA4"/>
    <w:rsid w:val="2E173476"/>
    <w:rsid w:val="37DFC877"/>
    <w:rsid w:val="37F612FF"/>
    <w:rsid w:val="3F1F2D7E"/>
    <w:rsid w:val="3F42A651"/>
    <w:rsid w:val="3FFFB14D"/>
    <w:rsid w:val="40792A1D"/>
    <w:rsid w:val="44094FB1"/>
    <w:rsid w:val="47292EF1"/>
    <w:rsid w:val="540B76BE"/>
    <w:rsid w:val="55F9CC55"/>
    <w:rsid w:val="561510AB"/>
    <w:rsid w:val="5A514119"/>
    <w:rsid w:val="5C7B727F"/>
    <w:rsid w:val="5DED396D"/>
    <w:rsid w:val="5FFEC4A2"/>
    <w:rsid w:val="64794070"/>
    <w:rsid w:val="67DE7F10"/>
    <w:rsid w:val="6D1312C6"/>
    <w:rsid w:val="6FEF618B"/>
    <w:rsid w:val="716A35B2"/>
    <w:rsid w:val="74B7435D"/>
    <w:rsid w:val="75F9677B"/>
    <w:rsid w:val="770F8794"/>
    <w:rsid w:val="77CBDB54"/>
    <w:rsid w:val="77D961BC"/>
    <w:rsid w:val="77DF4C70"/>
    <w:rsid w:val="7B3B022A"/>
    <w:rsid w:val="7B4C0C41"/>
    <w:rsid w:val="7B5E8D0B"/>
    <w:rsid w:val="7D9A2452"/>
    <w:rsid w:val="7FBFF532"/>
    <w:rsid w:val="7FF395BF"/>
    <w:rsid w:val="7FFBACD9"/>
    <w:rsid w:val="7FFC89EA"/>
    <w:rsid w:val="7FFFBC79"/>
    <w:rsid w:val="9EB5E5E0"/>
    <w:rsid w:val="9F7AA3BC"/>
    <w:rsid w:val="A6DD5554"/>
    <w:rsid w:val="AE7EA231"/>
    <w:rsid w:val="DCEB07E7"/>
    <w:rsid w:val="DF35F2BF"/>
    <w:rsid w:val="E4F77A9D"/>
    <w:rsid w:val="EEFF6313"/>
    <w:rsid w:val="EFED9790"/>
    <w:rsid w:val="FADF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1 Char"/>
    <w:basedOn w:val="7"/>
    <w:link w:val="2"/>
    <w:qFormat/>
    <w:uiPriority w:val="0"/>
    <w:rPr>
      <w:rFonts w:ascii="Calibri" w:hAnsi="Calibri" w:eastAsia="宋体" w:cs="Times New Roman"/>
      <w:b/>
      <w:bCs/>
      <w:kern w:val="44"/>
      <w:sz w:val="44"/>
      <w:szCs w:val="44"/>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2</Pages>
  <Words>868</Words>
  <Characters>887</Characters>
  <Lines>45</Lines>
  <Paragraphs>12</Paragraphs>
  <TotalTime>7</TotalTime>
  <ScaleCrop>false</ScaleCrop>
  <LinksUpToDate>false</LinksUpToDate>
  <CharactersWithSpaces>888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2021-10-29T07:44:00Z</dcterms:created>
  <dc:creator>Administrator</dc:creator>
  <cp:lastModifiedBy>x</cp:lastModifiedBy>
  <cp:lastPrinted>2022-09-11T15:38:00Z</cp:lastPrinted>
  <dcterms:modified xsi:type="dcterms:W3CDTF">2022-10-21T01:42:14Z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1332813E236842C088EF05E24B5A2A31</vt:lpwstr>
  </property>
</Properties>
</file>