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5"/>
        <w:gridCol w:w="1167"/>
        <w:gridCol w:w="7000"/>
        <w:gridCol w:w="1468"/>
        <w:gridCol w:w="2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5" w:type="dxa"/>
            <w:vAlign w:val="center"/>
          </w:tcPr>
          <w:p>
            <w:pPr>
              <w:spacing w:line="360" w:lineRule="exact"/>
              <w:jc w:val="center"/>
              <w:rPr>
                <w:rFonts w:hint="default" w:eastAsia="仿宋_GB2312"/>
                <w:b/>
                <w:bCs/>
                <w:sz w:val="28"/>
                <w:szCs w:val="28"/>
                <w:lang w:val="en-US" w:eastAsia="zh-CN"/>
              </w:rPr>
            </w:pPr>
            <w:r>
              <w:rPr>
                <w:rFonts w:hint="eastAsia" w:ascii="仿宋_GB2312" w:hAnsi="楷体" w:eastAsia="仿宋_GB2312"/>
                <w:b/>
                <w:bCs/>
                <w:sz w:val="28"/>
                <w:szCs w:val="28"/>
              </w:rPr>
              <w:t>单位</w:t>
            </w:r>
            <w:r>
              <w:rPr>
                <w:rFonts w:hint="eastAsia" w:ascii="仿宋_GB2312" w:hAnsi="楷体" w:eastAsia="仿宋_GB2312"/>
                <w:b/>
                <w:bCs/>
                <w:sz w:val="28"/>
                <w:szCs w:val="28"/>
                <w:lang w:val="en-US" w:eastAsia="zh-CN"/>
              </w:rPr>
              <w:t>/个人</w:t>
            </w:r>
          </w:p>
        </w:tc>
        <w:tc>
          <w:tcPr>
            <w:tcW w:w="1167" w:type="dxa"/>
            <w:vAlign w:val="center"/>
          </w:tcPr>
          <w:p>
            <w:pPr>
              <w:spacing w:line="360" w:lineRule="exact"/>
              <w:jc w:val="center"/>
              <w:rPr>
                <w:b/>
                <w:bCs/>
                <w:sz w:val="28"/>
                <w:szCs w:val="28"/>
              </w:rPr>
            </w:pPr>
            <w:r>
              <w:rPr>
                <w:rFonts w:hint="eastAsia" w:ascii="仿宋_GB2312" w:hAnsi="楷体" w:eastAsia="仿宋_GB2312"/>
                <w:b/>
                <w:bCs/>
                <w:sz w:val="28"/>
                <w:szCs w:val="28"/>
              </w:rPr>
              <w:t>序号</w:t>
            </w:r>
          </w:p>
        </w:tc>
        <w:tc>
          <w:tcPr>
            <w:tcW w:w="7000" w:type="dxa"/>
            <w:vAlign w:val="center"/>
          </w:tcPr>
          <w:p>
            <w:pPr>
              <w:spacing w:line="360" w:lineRule="exact"/>
              <w:jc w:val="center"/>
              <w:rPr>
                <w:rFonts w:ascii="仿宋_GB2312" w:hAnsi="楷体" w:eastAsia="仿宋_GB2312"/>
                <w:b/>
                <w:bCs/>
                <w:sz w:val="28"/>
                <w:szCs w:val="28"/>
              </w:rPr>
            </w:pPr>
            <w:r>
              <w:rPr>
                <w:rFonts w:hint="eastAsia" w:ascii="仿宋_GB2312" w:hAnsi="楷体" w:eastAsia="仿宋_GB2312"/>
                <w:b/>
                <w:bCs/>
                <w:sz w:val="28"/>
                <w:szCs w:val="28"/>
              </w:rPr>
              <w:t>意见</w:t>
            </w:r>
          </w:p>
        </w:tc>
        <w:tc>
          <w:tcPr>
            <w:tcW w:w="1468" w:type="dxa"/>
            <w:vAlign w:val="center"/>
          </w:tcPr>
          <w:p>
            <w:pPr>
              <w:spacing w:line="360" w:lineRule="exact"/>
              <w:jc w:val="center"/>
              <w:rPr>
                <w:b/>
                <w:bCs/>
                <w:sz w:val="32"/>
                <w:szCs w:val="32"/>
              </w:rPr>
            </w:pPr>
            <w:r>
              <w:rPr>
                <w:rFonts w:hint="eastAsia" w:ascii="仿宋_GB2312" w:hAnsi="楷体" w:eastAsia="仿宋_GB2312"/>
                <w:b/>
                <w:bCs/>
                <w:sz w:val="28"/>
                <w:szCs w:val="28"/>
              </w:rPr>
              <w:t>采纳情况</w:t>
            </w:r>
          </w:p>
        </w:tc>
        <w:tc>
          <w:tcPr>
            <w:tcW w:w="2415" w:type="dxa"/>
            <w:vAlign w:val="center"/>
          </w:tcPr>
          <w:p>
            <w:pPr>
              <w:spacing w:line="360" w:lineRule="exact"/>
              <w:jc w:val="center"/>
              <w:rPr>
                <w:b/>
                <w:bCs/>
                <w:sz w:val="32"/>
                <w:szCs w:val="32"/>
              </w:rPr>
            </w:pPr>
            <w:r>
              <w:rPr>
                <w:rFonts w:hint="eastAsia" w:ascii="仿宋_GB2312" w:hAnsi="楷体" w:eastAsia="仿宋_GB2312"/>
                <w:b/>
                <w:bCs/>
                <w:sz w:val="28"/>
                <w:szCs w:val="28"/>
              </w:rPr>
              <w:t>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5" w:type="dxa"/>
            <w:vMerge w:val="restart"/>
            <w:vAlign w:val="center"/>
          </w:tcPr>
          <w:p>
            <w:pPr>
              <w:spacing w:line="240" w:lineRule="atLeast"/>
              <w:jc w:val="center"/>
              <w:rPr>
                <w:rFonts w:ascii="仿宋_GB2312" w:hAnsi="仿宋_GB2312" w:eastAsia="仿宋_GB2312" w:cs="仿宋_GB2312"/>
                <w:b/>
                <w:bCs/>
                <w:sz w:val="24"/>
              </w:rPr>
            </w:pPr>
            <w:r>
              <w:rPr>
                <w:rFonts w:hint="eastAsia" w:ascii="仿宋_GB2312" w:hAnsi="仿宋_GB2312" w:eastAsia="仿宋_GB2312" w:cs="仿宋_GB2312"/>
                <w:b/>
                <w:bCs/>
                <w:sz w:val="24"/>
              </w:rPr>
              <w:t>深圳市东方富海投资管理股份有限公司</w:t>
            </w:r>
          </w:p>
        </w:tc>
        <w:tc>
          <w:tcPr>
            <w:tcW w:w="1167" w:type="dxa"/>
            <w:vAlign w:val="center"/>
          </w:tcPr>
          <w:p>
            <w:pPr>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7000" w:type="dxa"/>
          </w:tcPr>
          <w:p>
            <w:pPr>
              <w:autoSpaceDE w:val="0"/>
              <w:autoSpaceDN w:val="0"/>
              <w:spacing w:line="240" w:lineRule="atLeas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关于跨部门统筹协调的职能机构。原文中虽提出“市、区人民政府应当建立促进创业投资行业发展协调机制，履行相关职责，统筹协调本辖区内创业投资行业的发展，营造良好的创业投资生态环境。”但缺少具体进行跨部门统筹协调，推动问题化解、落地执行的具体职能机构。建议修订为“由市人民政府设立创业投资发展领导小组，组员由市科创、财政、税务、市场监管、金融监管等多部门共同组成。由创业投资发展领导小组统筹、协调本辖区内创业投资行业的发展，形成跨部门协同机制，不断优化、营造良好的创业投资生态环境。”</w:t>
            </w:r>
          </w:p>
        </w:tc>
        <w:tc>
          <w:tcPr>
            <w:tcW w:w="1468" w:type="dxa"/>
          </w:tcPr>
          <w:p>
            <w:pPr>
              <w:spacing w:line="240" w:lineRule="atLeast"/>
              <w:rPr>
                <w:rFonts w:ascii="仿宋_GB2312" w:hAnsi="仿宋_GB2312" w:eastAsia="仿宋_GB2312" w:cs="仿宋_GB2312"/>
                <w:sz w:val="24"/>
              </w:rPr>
            </w:pPr>
            <w:r>
              <w:rPr>
                <w:rFonts w:hint="eastAsia" w:ascii="仿宋_GB2312" w:hAnsi="仿宋_GB2312" w:eastAsia="仿宋_GB2312" w:cs="仿宋_GB2312"/>
                <w:sz w:val="24"/>
              </w:rPr>
              <w:t>已采纳</w:t>
            </w:r>
          </w:p>
        </w:tc>
        <w:tc>
          <w:tcPr>
            <w:tcW w:w="2415" w:type="dxa"/>
          </w:tcPr>
          <w:p>
            <w:pPr>
              <w:spacing w:line="240" w:lineRule="atLeas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5" w:type="dxa"/>
            <w:vMerge w:val="continue"/>
            <w:vAlign w:val="center"/>
          </w:tcPr>
          <w:p>
            <w:pPr>
              <w:spacing w:line="240" w:lineRule="atLeast"/>
              <w:jc w:val="center"/>
              <w:rPr>
                <w:rFonts w:ascii="仿宋_GB2312" w:hAnsi="仿宋_GB2312" w:eastAsia="仿宋_GB2312" w:cs="仿宋_GB2312"/>
                <w:b/>
                <w:bCs/>
                <w:sz w:val="24"/>
              </w:rPr>
            </w:pPr>
          </w:p>
        </w:tc>
        <w:tc>
          <w:tcPr>
            <w:tcW w:w="1167" w:type="dxa"/>
            <w:vAlign w:val="center"/>
          </w:tcPr>
          <w:p>
            <w:pPr>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2</w:t>
            </w:r>
          </w:p>
        </w:tc>
        <w:tc>
          <w:tcPr>
            <w:tcW w:w="7000" w:type="dxa"/>
          </w:tcPr>
          <w:p>
            <w:pPr>
              <w:autoSpaceDE w:val="0"/>
              <w:autoSpaceDN w:val="0"/>
              <w:spacing w:line="240" w:lineRule="atLeas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关于长期创投基金的存续期。根据投中研究院数据，目前人民币基金存续期以“5+2”为主，即存续期7年。且中国证监会发布的《私募基金监管问答——关于享受税收政策的创业投资基金标准及申请流程》中明确，对于符合政策优惠和奖励</w:t>
            </w:r>
            <w:bookmarkStart w:id="1" w:name="_GoBack"/>
            <w:bookmarkEnd w:id="1"/>
            <w:r>
              <w:rPr>
                <w:rFonts w:hint="eastAsia" w:ascii="仿宋_GB2312" w:hAnsi="仿宋_GB2312" w:eastAsia="仿宋_GB2312" w:cs="仿宋_GB2312"/>
                <w:sz w:val="24"/>
              </w:rPr>
              <w:t>的创投基金其存续期不短于7年。因此，为符合目前国内创投行业的发展现状，与国家相关规定的奖励口径保持统一，建议把该条款所规定的8年以上的长期基金修订为7年及以上。</w:t>
            </w:r>
          </w:p>
        </w:tc>
        <w:tc>
          <w:tcPr>
            <w:tcW w:w="1468" w:type="dxa"/>
          </w:tcPr>
          <w:p>
            <w:pPr>
              <w:spacing w:line="240" w:lineRule="atLeast"/>
              <w:rPr>
                <w:rFonts w:ascii="仿宋_GB2312" w:hAnsi="仿宋_GB2312" w:eastAsia="仿宋_GB2312" w:cs="仿宋_GB2312"/>
                <w:sz w:val="24"/>
              </w:rPr>
            </w:pPr>
            <w:r>
              <w:rPr>
                <w:rFonts w:hint="eastAsia" w:ascii="仿宋_GB2312" w:hAnsi="仿宋_GB2312" w:eastAsia="仿宋_GB2312" w:cs="仿宋_GB2312"/>
                <w:sz w:val="24"/>
              </w:rPr>
              <w:t>已采纳</w:t>
            </w:r>
          </w:p>
        </w:tc>
        <w:tc>
          <w:tcPr>
            <w:tcW w:w="2415" w:type="dxa"/>
          </w:tcPr>
          <w:p>
            <w:pPr>
              <w:spacing w:line="240" w:lineRule="atLeas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5" w:type="dxa"/>
            <w:vMerge w:val="continue"/>
            <w:vAlign w:val="center"/>
          </w:tcPr>
          <w:p>
            <w:pPr>
              <w:spacing w:line="240" w:lineRule="atLeast"/>
              <w:jc w:val="center"/>
              <w:rPr>
                <w:rFonts w:ascii="仿宋_GB2312" w:hAnsi="仿宋_GB2312" w:eastAsia="仿宋_GB2312" w:cs="仿宋_GB2312"/>
                <w:b/>
                <w:bCs/>
                <w:sz w:val="24"/>
              </w:rPr>
            </w:pPr>
          </w:p>
        </w:tc>
        <w:tc>
          <w:tcPr>
            <w:tcW w:w="1167" w:type="dxa"/>
            <w:vAlign w:val="center"/>
          </w:tcPr>
          <w:p>
            <w:pPr>
              <w:spacing w:line="240" w:lineRule="atLeast"/>
              <w:jc w:val="center"/>
              <w:rPr>
                <w:rFonts w:ascii="仿宋_GB2312" w:hAnsi="仿宋_GB2312" w:eastAsia="仿宋_GB2312" w:cs="仿宋_GB2312"/>
                <w:sz w:val="24"/>
              </w:rPr>
            </w:pPr>
            <w:r>
              <w:rPr>
                <w:rFonts w:ascii="仿宋_GB2312" w:hAnsi="仿宋_GB2312" w:eastAsia="仿宋_GB2312" w:cs="仿宋_GB2312"/>
                <w:sz w:val="24"/>
              </w:rPr>
              <w:t>3</w:t>
            </w:r>
          </w:p>
        </w:tc>
        <w:tc>
          <w:tcPr>
            <w:tcW w:w="7000" w:type="dxa"/>
          </w:tcPr>
          <w:p>
            <w:pPr>
              <w:autoSpaceDE w:val="0"/>
              <w:autoSpaceDN w:val="0"/>
              <w:spacing w:line="240" w:lineRule="atLeas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关于公共创业服务机构的奖励和补贴。应明确对孵化器、加速器等公共创业服务机构给予奖励和补贴，引导更多社会主体参与创业服务生态体系建设，建立以创业投资为主、创业孵化、创业加速、融资担保等共同参与的创业、创新生态。建议改为“探索建立适应自主创新需要的新型公共服务体系，鼓励相关行业协会、专业机构等针对创新型企业开展咨询、评估、经纪等服务。鼓励各区、各企业为创新型企业提供应用场景，支持创新型企业产品落地的相关条款。对孵化器、加速器等创业、创新公共服务机构给予奖励，加速完善创业、创新生态服务体系建设”。</w:t>
            </w:r>
          </w:p>
        </w:tc>
        <w:tc>
          <w:tcPr>
            <w:tcW w:w="1468" w:type="dxa"/>
          </w:tcPr>
          <w:p>
            <w:pPr>
              <w:spacing w:line="240" w:lineRule="atLeast"/>
              <w:rPr>
                <w:rFonts w:ascii="仿宋_GB2312" w:hAnsi="仿宋_GB2312" w:eastAsia="仿宋_GB2312" w:cs="仿宋_GB2312"/>
                <w:sz w:val="24"/>
              </w:rPr>
            </w:pPr>
            <w:r>
              <w:rPr>
                <w:rFonts w:hint="eastAsia" w:ascii="仿宋_GB2312" w:hAnsi="仿宋_GB2312" w:eastAsia="仿宋_GB2312" w:cs="仿宋_GB2312"/>
                <w:sz w:val="24"/>
              </w:rPr>
              <w:t>已</w:t>
            </w:r>
            <w:r>
              <w:rPr>
                <w:rFonts w:ascii="仿宋_GB2312" w:hAnsi="仿宋_GB2312" w:eastAsia="仿宋_GB2312" w:cs="仿宋_GB2312"/>
                <w:sz w:val="24"/>
              </w:rPr>
              <w:t>采纳</w:t>
            </w:r>
          </w:p>
        </w:tc>
        <w:tc>
          <w:tcPr>
            <w:tcW w:w="2415" w:type="dxa"/>
          </w:tcPr>
          <w:p>
            <w:pPr>
              <w:spacing w:line="240" w:lineRule="atLeas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5" w:type="dxa"/>
          </w:tcPr>
          <w:p>
            <w:pPr>
              <w:spacing w:line="240" w:lineRule="atLeast"/>
              <w:jc w:val="center"/>
              <w:rPr>
                <w:rFonts w:hint="eastAsia" w:ascii="仿宋_GB2312" w:hAnsi="仿宋_GB2312" w:eastAsia="仿宋_GB2312" w:cs="仿宋_GB2312"/>
                <w:b/>
                <w:bCs/>
                <w:sz w:val="24"/>
                <w:lang w:val="en-US" w:eastAsia="zh-CN"/>
              </w:rPr>
            </w:pPr>
            <w:r>
              <w:rPr>
                <w:rFonts w:hint="eastAsia" w:ascii="仿宋_GB2312" w:hAnsi="仿宋_GB2312" w:eastAsia="仿宋_GB2312" w:cs="仿宋_GB2312"/>
                <w:b/>
                <w:bCs/>
                <w:sz w:val="24"/>
              </w:rPr>
              <w:t>龙岗区发展研究中心</w:t>
            </w:r>
            <w:r>
              <w:rPr>
                <w:rFonts w:hint="eastAsia" w:ascii="仿宋_GB2312" w:hAnsi="仿宋_GB2312" w:eastAsia="仿宋_GB2312" w:cs="仿宋_GB2312"/>
                <w:b/>
                <w:bCs/>
                <w:sz w:val="24"/>
                <w:lang w:val="en-US" w:eastAsia="zh-CN"/>
              </w:rPr>
              <w:t xml:space="preserve"> </w:t>
            </w:r>
          </w:p>
          <w:p>
            <w:pPr>
              <w:spacing w:line="240" w:lineRule="atLeast"/>
              <w:jc w:val="center"/>
              <w:rPr>
                <w:rFonts w:hint="eastAsia" w:ascii="仿宋_GB2312" w:hAnsi="仿宋_GB2312" w:eastAsia="仿宋_GB2312" w:cs="仿宋_GB2312"/>
                <w:b/>
                <w:bCs/>
                <w:sz w:val="24"/>
                <w:lang w:val="en-US" w:eastAsia="zh-CN"/>
              </w:rPr>
            </w:pPr>
            <w:r>
              <w:rPr>
                <w:rFonts w:hint="eastAsia" w:ascii="仿宋_GB2312" w:hAnsi="仿宋_GB2312" w:eastAsia="仿宋_GB2312" w:cs="仿宋_GB2312"/>
                <w:b/>
                <w:bCs/>
                <w:sz w:val="24"/>
                <w:lang w:val="en-US" w:eastAsia="zh-CN"/>
              </w:rPr>
              <w:t>李小热</w:t>
            </w:r>
          </w:p>
        </w:tc>
        <w:tc>
          <w:tcPr>
            <w:tcW w:w="1167" w:type="dxa"/>
          </w:tcPr>
          <w:p>
            <w:pPr>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7000" w:type="dxa"/>
          </w:tcPr>
          <w:p>
            <w:pPr>
              <w:autoSpaceDE w:val="0"/>
              <w:autoSpaceDN w:val="0"/>
              <w:spacing w:line="240" w:lineRule="atLeas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关于市、区政府引导基金合作。建议：第三章第十六条中，在段后增加一款“鼓励市、区共同设立政府引导基金。鼓励市、区政府引导基金开展合作”。</w:t>
            </w:r>
          </w:p>
        </w:tc>
        <w:tc>
          <w:tcPr>
            <w:tcW w:w="1468" w:type="dxa"/>
          </w:tcPr>
          <w:p>
            <w:pPr>
              <w:spacing w:line="240" w:lineRule="atLeast"/>
              <w:rPr>
                <w:rFonts w:ascii="仿宋_GB2312" w:hAnsi="仿宋_GB2312" w:eastAsia="仿宋_GB2312" w:cs="仿宋_GB2312"/>
                <w:sz w:val="24"/>
              </w:rPr>
            </w:pPr>
            <w:r>
              <w:rPr>
                <w:rFonts w:hint="eastAsia" w:ascii="仿宋_GB2312" w:hAnsi="仿宋_GB2312" w:eastAsia="仿宋_GB2312" w:cs="仿宋_GB2312"/>
                <w:sz w:val="24"/>
              </w:rPr>
              <w:t>已</w:t>
            </w:r>
            <w:r>
              <w:rPr>
                <w:rFonts w:ascii="仿宋_GB2312" w:hAnsi="仿宋_GB2312" w:eastAsia="仿宋_GB2312" w:cs="仿宋_GB2312"/>
                <w:sz w:val="24"/>
              </w:rPr>
              <w:t>采纳</w:t>
            </w:r>
          </w:p>
        </w:tc>
        <w:tc>
          <w:tcPr>
            <w:tcW w:w="2415" w:type="dxa"/>
          </w:tcPr>
          <w:p>
            <w:pPr>
              <w:spacing w:line="240" w:lineRule="atLeas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5" w:type="dxa"/>
          </w:tcPr>
          <w:p>
            <w:pPr>
              <w:spacing w:line="240" w:lineRule="atLeast"/>
              <w:jc w:val="center"/>
              <w:rPr>
                <w:rFonts w:ascii="仿宋_GB2312" w:hAnsi="仿宋_GB2312" w:eastAsia="仿宋_GB2312" w:cs="仿宋_GB2312"/>
                <w:b/>
                <w:bCs/>
                <w:sz w:val="24"/>
              </w:rPr>
            </w:pPr>
            <w:r>
              <w:rPr>
                <w:rFonts w:hint="eastAsia" w:ascii="仿宋_GB2312" w:hAnsi="仿宋_GB2312" w:eastAsia="仿宋_GB2312" w:cs="仿宋_GB2312"/>
                <w:b/>
                <w:bCs/>
                <w:sz w:val="24"/>
              </w:rPr>
              <w:t>达晨财智创业投资管理有限公司</w:t>
            </w:r>
          </w:p>
        </w:tc>
        <w:tc>
          <w:tcPr>
            <w:tcW w:w="1167" w:type="dxa"/>
          </w:tcPr>
          <w:p>
            <w:pPr>
              <w:spacing w:line="240" w:lineRule="atLeast"/>
              <w:jc w:val="center"/>
              <w:rPr>
                <w:rFonts w:ascii="仿宋_GB2312" w:hAnsi="仿宋_GB2312" w:eastAsia="仿宋_GB2312" w:cs="仿宋_GB2312"/>
                <w:b/>
                <w:bCs/>
                <w:sz w:val="24"/>
              </w:rPr>
            </w:pPr>
            <w:r>
              <w:rPr>
                <w:rFonts w:hint="eastAsia" w:ascii="仿宋_GB2312" w:hAnsi="仿宋_GB2312" w:eastAsia="仿宋_GB2312" w:cs="仿宋_GB2312"/>
                <w:sz w:val="24"/>
              </w:rPr>
              <w:t>1</w:t>
            </w:r>
          </w:p>
        </w:tc>
        <w:tc>
          <w:tcPr>
            <w:tcW w:w="7000" w:type="dxa"/>
          </w:tcPr>
          <w:p>
            <w:pPr>
              <w:autoSpaceDE w:val="0"/>
              <w:autoSpaceDN w:val="0"/>
              <w:spacing w:line="240" w:lineRule="atLeas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关于创新型企业境外上市手续的便利性。建议</w:t>
            </w:r>
            <w:bookmarkStart w:id="0" w:name="_Hlk79162996"/>
            <w:r>
              <w:rPr>
                <w:rFonts w:hint="eastAsia" w:ascii="仿宋_GB2312" w:hAnsi="仿宋_GB2312" w:eastAsia="仿宋_GB2312" w:cs="仿宋_GB2312"/>
                <w:sz w:val="24"/>
              </w:rPr>
              <w:t>：创新型企业在办理境外上市手续时，应给予大力支持，包括但不限于商委批文、发改委备案、外汇登记等</w:t>
            </w:r>
            <w:bookmarkEnd w:id="0"/>
            <w:r>
              <w:rPr>
                <w:rFonts w:hint="eastAsia" w:ascii="仿宋_GB2312" w:hAnsi="仿宋_GB2312" w:eastAsia="仿宋_GB2312" w:cs="仿宋_GB2312"/>
                <w:sz w:val="24"/>
              </w:rPr>
              <w:t>，提高相关手续办理效率。</w:t>
            </w:r>
          </w:p>
        </w:tc>
        <w:tc>
          <w:tcPr>
            <w:tcW w:w="1468" w:type="dxa"/>
          </w:tcPr>
          <w:p>
            <w:pPr>
              <w:spacing w:line="240" w:lineRule="atLeast"/>
              <w:rPr>
                <w:rFonts w:ascii="仿宋_GB2312" w:hAnsi="仿宋_GB2312" w:eastAsia="仿宋_GB2312" w:cs="仿宋_GB2312"/>
                <w:sz w:val="24"/>
              </w:rPr>
            </w:pPr>
            <w:r>
              <w:rPr>
                <w:rFonts w:hint="eastAsia" w:ascii="仿宋_GB2312" w:hAnsi="仿宋_GB2312" w:eastAsia="仿宋_GB2312" w:cs="仿宋_GB2312"/>
                <w:sz w:val="24"/>
              </w:rPr>
              <w:t>已采纳</w:t>
            </w:r>
          </w:p>
        </w:tc>
        <w:tc>
          <w:tcPr>
            <w:tcW w:w="2415" w:type="dxa"/>
          </w:tcPr>
          <w:p>
            <w:pPr>
              <w:spacing w:line="240" w:lineRule="atLeas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5" w:type="dxa"/>
            <w:vMerge w:val="restart"/>
          </w:tcPr>
          <w:p>
            <w:pPr>
              <w:spacing w:line="240" w:lineRule="atLeast"/>
              <w:jc w:val="center"/>
              <w:rPr>
                <w:rFonts w:ascii="仿宋_GB2312" w:hAnsi="仿宋_GB2312" w:eastAsia="仿宋_GB2312" w:cs="仿宋_GB2312"/>
                <w:b/>
                <w:bCs/>
                <w:sz w:val="24"/>
              </w:rPr>
            </w:pPr>
            <w:r>
              <w:rPr>
                <w:rFonts w:ascii="仿宋_GB2312" w:hAnsi="仿宋_GB2312" w:eastAsia="仿宋_GB2312" w:cs="仿宋_GB2312"/>
                <w:b/>
                <w:bCs/>
                <w:sz w:val="24"/>
              </w:rPr>
              <w:t>深圳市天使投资引导基金管理有限公司</w:t>
            </w:r>
          </w:p>
        </w:tc>
        <w:tc>
          <w:tcPr>
            <w:tcW w:w="1167" w:type="dxa"/>
          </w:tcPr>
          <w:p>
            <w:pPr>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7000" w:type="dxa"/>
          </w:tcPr>
          <w:p>
            <w:pPr>
              <w:autoSpaceDE w:val="0"/>
              <w:autoSpaceDN w:val="0"/>
              <w:spacing w:line="240" w:lineRule="atLeas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关于天使投资的定义。建议丰富天使投资内涵，从投资阶段来定义天使投资，不限定投资主体的组织形式。建议以投资阶段来界定“天使投资”，即天使投资应为主要向未上市成长性企业中处于种子期、初创期的小微企业或创业项目进行股权投资的投资方式。</w:t>
            </w:r>
          </w:p>
        </w:tc>
        <w:tc>
          <w:tcPr>
            <w:tcW w:w="1468" w:type="dxa"/>
          </w:tcPr>
          <w:p>
            <w:pPr>
              <w:spacing w:line="240" w:lineRule="atLeast"/>
              <w:rPr>
                <w:rFonts w:ascii="仿宋_GB2312" w:hAnsi="仿宋_GB2312" w:eastAsia="仿宋_GB2312" w:cs="仿宋_GB2312"/>
                <w:sz w:val="24"/>
              </w:rPr>
            </w:pPr>
            <w:r>
              <w:rPr>
                <w:rFonts w:hint="eastAsia" w:ascii="仿宋_GB2312" w:hAnsi="仿宋_GB2312" w:eastAsia="仿宋_GB2312" w:cs="仿宋_GB2312"/>
                <w:sz w:val="24"/>
              </w:rPr>
              <w:t>已采纳</w:t>
            </w:r>
          </w:p>
        </w:tc>
        <w:tc>
          <w:tcPr>
            <w:tcW w:w="2415" w:type="dxa"/>
          </w:tcPr>
          <w:p>
            <w:pPr>
              <w:spacing w:line="240" w:lineRule="atLeas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5" w:type="dxa"/>
            <w:vMerge w:val="continue"/>
          </w:tcPr>
          <w:p>
            <w:pPr>
              <w:spacing w:line="240" w:lineRule="atLeast"/>
              <w:jc w:val="center"/>
              <w:rPr>
                <w:rFonts w:ascii="仿宋_GB2312" w:hAnsi="仿宋_GB2312" w:eastAsia="仿宋_GB2312" w:cs="仿宋_GB2312"/>
                <w:b/>
                <w:bCs/>
                <w:sz w:val="24"/>
              </w:rPr>
            </w:pPr>
          </w:p>
        </w:tc>
        <w:tc>
          <w:tcPr>
            <w:tcW w:w="1167" w:type="dxa"/>
          </w:tcPr>
          <w:p>
            <w:pPr>
              <w:spacing w:line="240" w:lineRule="atLeast"/>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val="en-US" w:eastAsia="zh-CN"/>
              </w:rPr>
              <w:t>2</w:t>
            </w:r>
          </w:p>
        </w:tc>
        <w:tc>
          <w:tcPr>
            <w:tcW w:w="7000" w:type="dxa"/>
          </w:tcPr>
          <w:p>
            <w:pPr>
              <w:autoSpaceDE w:val="0"/>
              <w:autoSpaceDN w:val="0"/>
              <w:spacing w:line="240" w:lineRule="atLeas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关于解决国有创投容错机制不到位问题。建议：明确落实国有创业投资企业及国有出资人容错机制，探索建立并完善尽职免责制度，对因不可抗力、政策变动等因素导致的改革创新与科技投资未能实现预期目标的，如已履行规定程序作出决策且勤勉尽责未谋私利，则不追究受托管理机构责任，不做负面评价，以鼓励国有资本在高风险领域甚至“无人区”进行探索并长期投入。</w:t>
            </w:r>
          </w:p>
        </w:tc>
        <w:tc>
          <w:tcPr>
            <w:tcW w:w="1468" w:type="dxa"/>
          </w:tcPr>
          <w:p>
            <w:pPr>
              <w:spacing w:line="240" w:lineRule="atLeast"/>
              <w:rPr>
                <w:rFonts w:ascii="仿宋_GB2312" w:hAnsi="仿宋_GB2312" w:eastAsia="仿宋_GB2312" w:cs="仿宋_GB2312"/>
                <w:sz w:val="24"/>
              </w:rPr>
            </w:pPr>
            <w:r>
              <w:rPr>
                <w:rFonts w:hint="eastAsia" w:ascii="仿宋_GB2312" w:hAnsi="仿宋_GB2312" w:eastAsia="仿宋_GB2312" w:cs="仿宋_GB2312"/>
                <w:sz w:val="24"/>
              </w:rPr>
              <w:t>已采纳</w:t>
            </w:r>
          </w:p>
        </w:tc>
        <w:tc>
          <w:tcPr>
            <w:tcW w:w="2415" w:type="dxa"/>
          </w:tcPr>
          <w:p>
            <w:pPr>
              <w:spacing w:line="240" w:lineRule="atLeas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5" w:type="dxa"/>
            <w:vMerge w:val="continue"/>
          </w:tcPr>
          <w:p>
            <w:pPr>
              <w:spacing w:line="240" w:lineRule="atLeast"/>
              <w:jc w:val="center"/>
              <w:rPr>
                <w:rFonts w:ascii="仿宋_GB2312" w:hAnsi="仿宋_GB2312" w:eastAsia="仿宋_GB2312" w:cs="仿宋_GB2312"/>
                <w:b/>
                <w:bCs/>
                <w:sz w:val="24"/>
              </w:rPr>
            </w:pPr>
          </w:p>
        </w:tc>
        <w:tc>
          <w:tcPr>
            <w:tcW w:w="1167" w:type="dxa"/>
          </w:tcPr>
          <w:p>
            <w:pPr>
              <w:spacing w:line="240" w:lineRule="atLeast"/>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val="en-US" w:eastAsia="zh-CN"/>
              </w:rPr>
              <w:t>3</w:t>
            </w:r>
          </w:p>
        </w:tc>
        <w:tc>
          <w:tcPr>
            <w:tcW w:w="7000" w:type="dxa"/>
          </w:tcPr>
          <w:p>
            <w:pPr>
              <w:autoSpaceDE w:val="0"/>
              <w:autoSpaceDN w:val="0"/>
              <w:spacing w:line="240" w:lineRule="atLeas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关于解决政府采购有待优化问题。建议：鼓励政府和供应链核心企业每年向小微企业预留一定比例采购份额，加大价格扣除比例，并结合政府产业发展特点、公共服务需求等，为企业产品提供应用场景，加速产品更新迭代，使前沿科技型初创企业更具竞争力。</w:t>
            </w:r>
          </w:p>
        </w:tc>
        <w:tc>
          <w:tcPr>
            <w:tcW w:w="1468" w:type="dxa"/>
          </w:tcPr>
          <w:p>
            <w:pPr>
              <w:spacing w:line="240" w:lineRule="atLeast"/>
              <w:rPr>
                <w:rFonts w:ascii="仿宋_GB2312" w:hAnsi="仿宋_GB2312" w:eastAsia="仿宋_GB2312" w:cs="仿宋_GB2312"/>
                <w:sz w:val="24"/>
              </w:rPr>
            </w:pPr>
            <w:r>
              <w:rPr>
                <w:rFonts w:ascii="仿宋_GB2312" w:hAnsi="仿宋_GB2312" w:eastAsia="仿宋_GB2312" w:cs="仿宋_GB2312"/>
                <w:sz w:val="24"/>
              </w:rPr>
              <w:t>已采纳</w:t>
            </w:r>
          </w:p>
        </w:tc>
        <w:tc>
          <w:tcPr>
            <w:tcW w:w="2415" w:type="dxa"/>
          </w:tcPr>
          <w:p>
            <w:pPr>
              <w:spacing w:line="240" w:lineRule="atLeas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5" w:type="dxa"/>
            <w:vMerge w:val="continue"/>
          </w:tcPr>
          <w:p>
            <w:pPr>
              <w:spacing w:line="240" w:lineRule="atLeast"/>
              <w:jc w:val="center"/>
              <w:rPr>
                <w:rFonts w:ascii="仿宋_GB2312" w:hAnsi="仿宋_GB2312" w:eastAsia="仿宋_GB2312" w:cs="仿宋_GB2312"/>
                <w:b/>
                <w:bCs/>
                <w:sz w:val="24"/>
              </w:rPr>
            </w:pPr>
          </w:p>
        </w:tc>
        <w:tc>
          <w:tcPr>
            <w:tcW w:w="1167" w:type="dxa"/>
          </w:tcPr>
          <w:p>
            <w:pPr>
              <w:spacing w:line="240" w:lineRule="atLeast"/>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val="en-US" w:eastAsia="zh-CN"/>
              </w:rPr>
              <w:t>4</w:t>
            </w:r>
          </w:p>
        </w:tc>
        <w:tc>
          <w:tcPr>
            <w:tcW w:w="7000" w:type="dxa"/>
          </w:tcPr>
          <w:p>
            <w:pPr>
              <w:autoSpaceDE w:val="0"/>
              <w:autoSpaceDN w:val="0"/>
              <w:spacing w:line="240" w:lineRule="atLeas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关于解决行业服务组织有待培育问题。建议进一步支持深圳本地的创业投资和天使投资行业中介服务机构发展，包括行业评级机构、律师事务所、知识产权服务机构、新闻媒体等，提高深圳天使投资行业整体影响力。</w:t>
            </w:r>
          </w:p>
        </w:tc>
        <w:tc>
          <w:tcPr>
            <w:tcW w:w="1468" w:type="dxa"/>
          </w:tcPr>
          <w:p>
            <w:pPr>
              <w:spacing w:line="240" w:lineRule="atLeast"/>
              <w:rPr>
                <w:rFonts w:ascii="仿宋_GB2312" w:hAnsi="仿宋_GB2312" w:eastAsia="仿宋_GB2312" w:cs="仿宋_GB2312"/>
                <w:sz w:val="24"/>
              </w:rPr>
            </w:pPr>
            <w:r>
              <w:rPr>
                <w:rFonts w:ascii="仿宋_GB2312" w:hAnsi="仿宋_GB2312" w:eastAsia="仿宋_GB2312" w:cs="仿宋_GB2312"/>
                <w:sz w:val="24"/>
              </w:rPr>
              <w:t>已采纳</w:t>
            </w:r>
          </w:p>
        </w:tc>
        <w:tc>
          <w:tcPr>
            <w:tcW w:w="2415" w:type="dxa"/>
          </w:tcPr>
          <w:p>
            <w:pPr>
              <w:spacing w:line="240" w:lineRule="atLeas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5" w:type="dxa"/>
            <w:vMerge w:val="restart"/>
          </w:tcPr>
          <w:p>
            <w:pPr>
              <w:spacing w:line="240" w:lineRule="atLeast"/>
              <w:jc w:val="center"/>
              <w:rPr>
                <w:rFonts w:ascii="仿宋_GB2312" w:hAnsi="仿宋_GB2312" w:eastAsia="仿宋_GB2312" w:cs="仿宋_GB2312"/>
                <w:b/>
                <w:bCs/>
                <w:sz w:val="24"/>
              </w:rPr>
            </w:pPr>
            <w:r>
              <w:rPr>
                <w:rFonts w:hint="eastAsia" w:ascii="仿宋_GB2312" w:hAnsi="仿宋_GB2312" w:eastAsia="仿宋_GB2312" w:cs="仿宋_GB2312"/>
                <w:b/>
                <w:bCs/>
                <w:sz w:val="24"/>
              </w:rPr>
              <w:t>柯生</w:t>
            </w:r>
          </w:p>
        </w:tc>
        <w:tc>
          <w:tcPr>
            <w:tcW w:w="1167" w:type="dxa"/>
          </w:tcPr>
          <w:p>
            <w:pPr>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7000" w:type="dxa"/>
          </w:tcPr>
          <w:p>
            <w:pPr>
              <w:autoSpaceDE w:val="0"/>
              <w:autoSpaceDN w:val="0"/>
              <w:spacing w:line="240" w:lineRule="atLeas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关于创业投资相关概念。目前国家关于创业投资企业的定义主要是2005年国家发改委联合各部门发布的《创业投资企业管理暂行办法》（发展改革委等10部门令第39号），其关于创投企业的运作要求如下：创业投资企业对单个企业的投资不得超过创业投资企业总资产的20％。我们建议，在深圳特区，应放宽此项比例要求，以让更多的创投企业能达到标准，享受政策扶持和税收优惠。</w:t>
            </w:r>
          </w:p>
        </w:tc>
        <w:tc>
          <w:tcPr>
            <w:tcW w:w="1468" w:type="dxa"/>
          </w:tcPr>
          <w:p>
            <w:pPr>
              <w:spacing w:line="240" w:lineRule="atLeast"/>
              <w:rPr>
                <w:rFonts w:ascii="仿宋_GB2312" w:hAnsi="仿宋_GB2312" w:eastAsia="仿宋_GB2312" w:cs="仿宋_GB2312"/>
                <w:sz w:val="24"/>
              </w:rPr>
            </w:pPr>
            <w:r>
              <w:rPr>
                <w:rFonts w:hint="eastAsia" w:ascii="仿宋_GB2312" w:hAnsi="仿宋_GB2312" w:eastAsia="仿宋_GB2312" w:cs="仿宋_GB2312"/>
                <w:sz w:val="24"/>
                <w:lang w:eastAsia="zh-CN"/>
              </w:rPr>
              <w:t>已</w:t>
            </w:r>
            <w:r>
              <w:rPr>
                <w:rFonts w:hint="eastAsia" w:ascii="仿宋_GB2312" w:hAnsi="仿宋_GB2312" w:eastAsia="仿宋_GB2312" w:cs="仿宋_GB2312"/>
                <w:sz w:val="24"/>
              </w:rPr>
              <w:t>采纳</w:t>
            </w:r>
          </w:p>
        </w:tc>
        <w:tc>
          <w:tcPr>
            <w:tcW w:w="2415" w:type="dxa"/>
          </w:tcPr>
          <w:p>
            <w:pPr>
              <w:spacing w:line="240" w:lineRule="atLeast"/>
              <w:rPr>
                <w:rFonts w:ascii="仿宋_GB2312" w:hAnsi="仿宋_GB2312" w:eastAsia="仿宋_GB2312" w:cs="仿宋_GB2312"/>
                <w:sz w:val="24"/>
              </w:rPr>
            </w:pPr>
            <w:r>
              <w:rPr>
                <w:rFonts w:hint="eastAsia" w:ascii="仿宋_GB2312" w:hAnsi="仿宋_GB2312" w:eastAsia="仿宋_GB2312" w:cs="仿宋_GB2312"/>
                <w:sz w:val="24"/>
                <w:lang w:eastAsia="zh-CN"/>
              </w:rPr>
              <w:t>已删除相关表述。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5" w:type="dxa"/>
            <w:vMerge w:val="continue"/>
          </w:tcPr>
          <w:p>
            <w:pPr>
              <w:spacing w:line="240" w:lineRule="atLeast"/>
              <w:jc w:val="center"/>
              <w:rPr>
                <w:rFonts w:ascii="仿宋_GB2312" w:hAnsi="仿宋_GB2312" w:eastAsia="仿宋_GB2312" w:cs="仿宋_GB2312"/>
                <w:b/>
                <w:bCs/>
                <w:sz w:val="24"/>
              </w:rPr>
            </w:pPr>
          </w:p>
        </w:tc>
        <w:tc>
          <w:tcPr>
            <w:tcW w:w="1167" w:type="dxa"/>
          </w:tcPr>
          <w:p>
            <w:pPr>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2</w:t>
            </w:r>
          </w:p>
        </w:tc>
        <w:tc>
          <w:tcPr>
            <w:tcW w:w="7000" w:type="dxa"/>
          </w:tcPr>
          <w:p>
            <w:pPr>
              <w:autoSpaceDE w:val="0"/>
              <w:autoSpaceDN w:val="0"/>
              <w:spacing w:line="240" w:lineRule="atLeas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关于创业投资企业基本要求。《条例》中规定“在企业名称和经营范围中应当标明‘创业投资’等字样，但通过咨询深圳市金融局创投企业备案的工作人员，目前在深圳做创投企业备案并不要求名称中必须标明“创业投资”字样，且实务中，企业名称中是否标明“创业投资”字样并不能代表企业的真实投资方向，目前已经成立的创投企业为了满足此项要求，不得不去办理改名的工商变更，加重企业负担，建议去掉此项要求。</w:t>
            </w:r>
          </w:p>
        </w:tc>
        <w:tc>
          <w:tcPr>
            <w:tcW w:w="1468" w:type="dxa"/>
          </w:tcPr>
          <w:p>
            <w:pPr>
              <w:spacing w:line="240" w:lineRule="atLeast"/>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已采纳</w:t>
            </w:r>
          </w:p>
        </w:tc>
        <w:tc>
          <w:tcPr>
            <w:tcW w:w="2415" w:type="dxa"/>
          </w:tcPr>
          <w:p>
            <w:pPr>
              <w:spacing w:line="240" w:lineRule="atLeast"/>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已删除相关表述。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5" w:type="dxa"/>
            <w:vMerge w:val="continue"/>
          </w:tcPr>
          <w:p>
            <w:pPr>
              <w:spacing w:line="240" w:lineRule="atLeast"/>
              <w:jc w:val="center"/>
              <w:rPr>
                <w:rFonts w:ascii="仿宋_GB2312" w:hAnsi="仿宋_GB2312" w:eastAsia="仿宋_GB2312" w:cs="仿宋_GB2312"/>
                <w:b/>
                <w:bCs/>
                <w:sz w:val="24"/>
              </w:rPr>
            </w:pPr>
          </w:p>
        </w:tc>
        <w:tc>
          <w:tcPr>
            <w:tcW w:w="1167" w:type="dxa"/>
          </w:tcPr>
          <w:p>
            <w:pPr>
              <w:spacing w:line="240" w:lineRule="atLeast"/>
              <w:jc w:val="center"/>
              <w:rPr>
                <w:rFonts w:ascii="仿宋_GB2312" w:hAnsi="仿宋_GB2312" w:eastAsia="仿宋_GB2312" w:cs="仿宋_GB2312"/>
                <w:sz w:val="24"/>
              </w:rPr>
            </w:pPr>
            <w:r>
              <w:rPr>
                <w:rFonts w:hint="eastAsia" w:ascii="仿宋_GB2312" w:hAnsi="仿宋_GB2312" w:eastAsia="仿宋_GB2312" w:cs="仿宋_GB2312"/>
                <w:sz w:val="24"/>
              </w:rPr>
              <w:t>3</w:t>
            </w:r>
          </w:p>
        </w:tc>
        <w:tc>
          <w:tcPr>
            <w:tcW w:w="7000" w:type="dxa"/>
          </w:tcPr>
          <w:p>
            <w:pPr>
              <w:autoSpaceDE w:val="0"/>
              <w:autoSpaceDN w:val="0"/>
              <w:spacing w:line="240" w:lineRule="atLeas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关于税收扶持。对合伙型的创业投资企业，其实质是个人透过合伙企业对项目进行股权投资，但现行税法却对此产生的股权转让行为按5-35%的生产经营所得纳税。这明显不合理，投资型的合伙企业具有明显的资合的性质，本质上并非生产经营，其主要所得为财产转让收益，根据我们国家个人所得税法，理应按20%的财产转让所得税率征税。我们建议，对创业投资企业的股权转让行为，对合伙人应按区别于一般合伙企业的生产经营所得5-35%税率，按20%征收个人所得税。</w:t>
            </w:r>
          </w:p>
        </w:tc>
        <w:tc>
          <w:tcPr>
            <w:tcW w:w="1468" w:type="dxa"/>
          </w:tcPr>
          <w:p>
            <w:pPr>
              <w:spacing w:line="240" w:lineRule="atLeast"/>
              <w:rPr>
                <w:rFonts w:ascii="仿宋_GB2312" w:hAnsi="仿宋_GB2312" w:eastAsia="仿宋_GB2312" w:cs="仿宋_GB2312"/>
                <w:sz w:val="24"/>
              </w:rPr>
            </w:pPr>
            <w:r>
              <w:rPr>
                <w:rFonts w:ascii="仿宋_GB2312" w:hAnsi="仿宋_GB2312" w:eastAsia="仿宋_GB2312" w:cs="仿宋_GB2312"/>
                <w:sz w:val="24"/>
              </w:rPr>
              <w:t>未采纳</w:t>
            </w:r>
          </w:p>
        </w:tc>
        <w:tc>
          <w:tcPr>
            <w:tcW w:w="2415" w:type="dxa"/>
          </w:tcPr>
          <w:p>
            <w:pPr>
              <w:spacing w:line="240" w:lineRule="atLeast"/>
              <w:rPr>
                <w:rFonts w:ascii="仿宋_GB2312" w:hAnsi="仿宋_GB2312" w:eastAsia="仿宋_GB2312" w:cs="仿宋_GB2312"/>
                <w:sz w:val="24"/>
              </w:rPr>
            </w:pPr>
            <w:r>
              <w:rPr>
                <w:rFonts w:hint="eastAsia" w:ascii="仿宋_GB2312" w:hAnsi="仿宋_GB2312" w:eastAsia="仿宋_GB2312" w:cs="仿宋_GB2312"/>
                <w:sz w:val="24"/>
              </w:rPr>
              <w:t>争取纳入深圳市综合改革试点。税收优惠的一切前提在于深圳能够成功行使较大市的立法权或者申请中央立法授权。</w:t>
            </w:r>
          </w:p>
        </w:tc>
      </w:tr>
    </w:tbl>
    <w:p>
      <w:pPr>
        <w:spacing w:line="240" w:lineRule="atLeast"/>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文鼎小标宋简">
    <w:altName w:val="微软雅黑"/>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69644E5"/>
    <w:rsid w:val="00013E18"/>
    <w:rsid w:val="00015766"/>
    <w:rsid w:val="00016E66"/>
    <w:rsid w:val="000305B7"/>
    <w:rsid w:val="000937A4"/>
    <w:rsid w:val="000A579C"/>
    <w:rsid w:val="000D187E"/>
    <w:rsid w:val="000E3568"/>
    <w:rsid w:val="00101B2A"/>
    <w:rsid w:val="0010597F"/>
    <w:rsid w:val="00110D13"/>
    <w:rsid w:val="0011274A"/>
    <w:rsid w:val="00136AB6"/>
    <w:rsid w:val="001370B9"/>
    <w:rsid w:val="001473A3"/>
    <w:rsid w:val="00166D9F"/>
    <w:rsid w:val="001B2831"/>
    <w:rsid w:val="00215431"/>
    <w:rsid w:val="00265F7E"/>
    <w:rsid w:val="002679D3"/>
    <w:rsid w:val="00292E00"/>
    <w:rsid w:val="002965E4"/>
    <w:rsid w:val="002E2EBB"/>
    <w:rsid w:val="00385C30"/>
    <w:rsid w:val="003E5466"/>
    <w:rsid w:val="003F1AE1"/>
    <w:rsid w:val="00401266"/>
    <w:rsid w:val="00417BB2"/>
    <w:rsid w:val="00427CE8"/>
    <w:rsid w:val="004446E1"/>
    <w:rsid w:val="00484DFA"/>
    <w:rsid w:val="004B7E0A"/>
    <w:rsid w:val="004F4664"/>
    <w:rsid w:val="00530E57"/>
    <w:rsid w:val="00574341"/>
    <w:rsid w:val="00600C4D"/>
    <w:rsid w:val="00627C77"/>
    <w:rsid w:val="00661DE7"/>
    <w:rsid w:val="006D1324"/>
    <w:rsid w:val="006E5606"/>
    <w:rsid w:val="006F421F"/>
    <w:rsid w:val="00750BCC"/>
    <w:rsid w:val="00752A8A"/>
    <w:rsid w:val="007810F3"/>
    <w:rsid w:val="007F3CEB"/>
    <w:rsid w:val="00805F14"/>
    <w:rsid w:val="008179ED"/>
    <w:rsid w:val="00836D2B"/>
    <w:rsid w:val="0084131F"/>
    <w:rsid w:val="00866889"/>
    <w:rsid w:val="008F4912"/>
    <w:rsid w:val="009415CE"/>
    <w:rsid w:val="009A678C"/>
    <w:rsid w:val="009A7560"/>
    <w:rsid w:val="009C5DB2"/>
    <w:rsid w:val="00A16BA6"/>
    <w:rsid w:val="00A23CDC"/>
    <w:rsid w:val="00A34B84"/>
    <w:rsid w:val="00A52ACF"/>
    <w:rsid w:val="00A67D8E"/>
    <w:rsid w:val="00A871B9"/>
    <w:rsid w:val="00A8736A"/>
    <w:rsid w:val="00A9241C"/>
    <w:rsid w:val="00AA311D"/>
    <w:rsid w:val="00AB2C69"/>
    <w:rsid w:val="00AD10CF"/>
    <w:rsid w:val="00AD2978"/>
    <w:rsid w:val="00AD53EA"/>
    <w:rsid w:val="00AF2FEF"/>
    <w:rsid w:val="00B04B06"/>
    <w:rsid w:val="00B06903"/>
    <w:rsid w:val="00B7174D"/>
    <w:rsid w:val="00BB4AA8"/>
    <w:rsid w:val="00BB607D"/>
    <w:rsid w:val="00BB7689"/>
    <w:rsid w:val="00BC7949"/>
    <w:rsid w:val="00C431E9"/>
    <w:rsid w:val="00C438DF"/>
    <w:rsid w:val="00C43B59"/>
    <w:rsid w:val="00C879F1"/>
    <w:rsid w:val="00C905F1"/>
    <w:rsid w:val="00CA4520"/>
    <w:rsid w:val="00CA6149"/>
    <w:rsid w:val="00CB6BF8"/>
    <w:rsid w:val="00CD0B3E"/>
    <w:rsid w:val="00CD2956"/>
    <w:rsid w:val="00CD4199"/>
    <w:rsid w:val="00CD6B36"/>
    <w:rsid w:val="00D214E4"/>
    <w:rsid w:val="00D56513"/>
    <w:rsid w:val="00D82A49"/>
    <w:rsid w:val="00DA4EFF"/>
    <w:rsid w:val="00DA6EF8"/>
    <w:rsid w:val="00DE41AF"/>
    <w:rsid w:val="00E25014"/>
    <w:rsid w:val="00E40F5D"/>
    <w:rsid w:val="00E425F8"/>
    <w:rsid w:val="00E51D3D"/>
    <w:rsid w:val="00E736BB"/>
    <w:rsid w:val="00EC1937"/>
    <w:rsid w:val="00F109E6"/>
    <w:rsid w:val="00F1277B"/>
    <w:rsid w:val="00F35D52"/>
    <w:rsid w:val="00F72618"/>
    <w:rsid w:val="00F85616"/>
    <w:rsid w:val="00F90AF1"/>
    <w:rsid w:val="00FA02C9"/>
    <w:rsid w:val="00FB00CE"/>
    <w:rsid w:val="00FC52BF"/>
    <w:rsid w:val="00FC7FAA"/>
    <w:rsid w:val="00FF4323"/>
    <w:rsid w:val="034372A8"/>
    <w:rsid w:val="064D21CF"/>
    <w:rsid w:val="09907018"/>
    <w:rsid w:val="0B0F7DEE"/>
    <w:rsid w:val="0B1B617E"/>
    <w:rsid w:val="0CF92322"/>
    <w:rsid w:val="0E6720A7"/>
    <w:rsid w:val="0E8F604B"/>
    <w:rsid w:val="10181B49"/>
    <w:rsid w:val="1131153F"/>
    <w:rsid w:val="12663AA3"/>
    <w:rsid w:val="13BC3155"/>
    <w:rsid w:val="15B36001"/>
    <w:rsid w:val="16130882"/>
    <w:rsid w:val="187D4ADD"/>
    <w:rsid w:val="18A82057"/>
    <w:rsid w:val="18F9171E"/>
    <w:rsid w:val="1AD841E9"/>
    <w:rsid w:val="22695977"/>
    <w:rsid w:val="238B4F2B"/>
    <w:rsid w:val="27EA6847"/>
    <w:rsid w:val="2D107FD3"/>
    <w:rsid w:val="2F9C7E0B"/>
    <w:rsid w:val="30C7122B"/>
    <w:rsid w:val="35B20078"/>
    <w:rsid w:val="384878F6"/>
    <w:rsid w:val="3C0F1AA3"/>
    <w:rsid w:val="3C966BD6"/>
    <w:rsid w:val="3E4B4C33"/>
    <w:rsid w:val="3EF027BF"/>
    <w:rsid w:val="41C549E3"/>
    <w:rsid w:val="42F86CA1"/>
    <w:rsid w:val="45267C8D"/>
    <w:rsid w:val="469644E5"/>
    <w:rsid w:val="49B61912"/>
    <w:rsid w:val="4F36097D"/>
    <w:rsid w:val="50B93A4D"/>
    <w:rsid w:val="5164578B"/>
    <w:rsid w:val="57F15D34"/>
    <w:rsid w:val="57F306DC"/>
    <w:rsid w:val="58145812"/>
    <w:rsid w:val="5A880FAF"/>
    <w:rsid w:val="5BC4500A"/>
    <w:rsid w:val="5C8967BE"/>
    <w:rsid w:val="5D2C2FE4"/>
    <w:rsid w:val="6045796B"/>
    <w:rsid w:val="61F14F48"/>
    <w:rsid w:val="659A0C0D"/>
    <w:rsid w:val="67824FD6"/>
    <w:rsid w:val="6C3F0772"/>
    <w:rsid w:val="72AD1CBE"/>
    <w:rsid w:val="758F0692"/>
    <w:rsid w:val="7A544809"/>
    <w:rsid w:val="7BEF3F06"/>
    <w:rsid w:val="7D1F7E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line="560" w:lineRule="exact"/>
      <w:ind w:firstLine="640" w:firstLineChars="200"/>
      <w:jc w:val="left"/>
      <w:outlineLvl w:val="0"/>
    </w:pPr>
    <w:rPr>
      <w:rFonts w:ascii="黑体" w:hAnsi="黑体" w:eastAsia="黑体"/>
      <w:sz w:val="32"/>
      <w:szCs w:val="32"/>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snapToGrid w:val="0"/>
      <w:spacing w:line="560" w:lineRule="atLeast"/>
      <w:jc w:val="center"/>
    </w:pPr>
    <w:rPr>
      <w:rFonts w:ascii="宋体" w:eastAsia="文鼎小标宋简"/>
      <w:spacing w:val="-24"/>
      <w:sz w:val="44"/>
    </w:r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spacing w:beforeAutospacing="1" w:afterAutospacing="1"/>
      <w:jc w:val="left"/>
    </w:pPr>
    <w:rPr>
      <w:rFonts w:ascii="Calibri" w:hAnsi="Calibri" w:eastAsia="宋体" w:cs="Times New Roman"/>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0">
    <w:name w:val="List Paragraph"/>
    <w:basedOn w:val="1"/>
    <w:qFormat/>
    <w:uiPriority w:val="34"/>
    <w:pPr>
      <w:ind w:firstLine="420" w:firstLineChars="200"/>
    </w:pPr>
  </w:style>
  <w:style w:type="paragraph" w:customStyle="1" w:styleId="11">
    <w:name w:val="正文1"/>
    <w:qFormat/>
    <w:uiPriority w:val="0"/>
    <w:pPr>
      <w:jc w:val="both"/>
    </w:pPr>
    <w:rPr>
      <w:rFonts w:ascii="Times New Roman" w:hAnsi="Times New Roman" w:eastAsia="宋体" w:cs="Times New Roman"/>
      <w:kern w:val="2"/>
      <w:sz w:val="21"/>
      <w:szCs w:val="21"/>
      <w:lang w:val="en-US" w:eastAsia="zh-CN" w:bidi="ar-SA"/>
    </w:rPr>
  </w:style>
  <w:style w:type="character" w:customStyle="1" w:styleId="12">
    <w:name w:val="页眉 Char"/>
    <w:basedOn w:val="9"/>
    <w:link w:val="5"/>
    <w:qFormat/>
    <w:uiPriority w:val="0"/>
    <w:rPr>
      <w:rFonts w:asciiTheme="minorHAnsi" w:hAnsiTheme="minorHAnsi" w:cstheme="minorBidi"/>
      <w:kern w:val="2"/>
      <w:sz w:val="18"/>
      <w:szCs w:val="18"/>
    </w:rPr>
  </w:style>
  <w:style w:type="character" w:customStyle="1" w:styleId="13">
    <w:name w:val="页脚 Char"/>
    <w:basedOn w:val="9"/>
    <w:link w:val="4"/>
    <w:qFormat/>
    <w:uiPriority w:val="0"/>
    <w:rPr>
      <w:rFonts w:asciiTheme="minorHAnsi" w:hAnsiTheme="minorHAnsi"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745</Words>
  <Characters>4252</Characters>
  <Lines>35</Lines>
  <Paragraphs>9</Paragraphs>
  <TotalTime>7</TotalTime>
  <ScaleCrop>false</ScaleCrop>
  <LinksUpToDate>false</LinksUpToDate>
  <CharactersWithSpaces>4988</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2020-12-01T01:40:00Z</dcterms:created>
  <dc:creator>郭星妤</dc:creator>
  <cp:lastModifiedBy>轻思量</cp:lastModifiedBy>
  <cp:lastPrinted>2020-12-07T01:56:00Z</cp:lastPrinted>
  <dcterms:modified xsi:type="dcterms:W3CDTF">2021-12-31T03:25:15Z</dcterms:modified>
  <cp:revision>98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84D401A3FC7D4949A94494162C79FB67</vt:lpwstr>
  </property>
</Properties>
</file>