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FF0DF" w14:textId="77777777" w:rsidR="00AB0EFF" w:rsidRDefault="00000000">
      <w:pPr>
        <w:overflowPunct w:val="0"/>
        <w:rPr>
          <w:rFonts w:ascii="黑体" w:eastAsia="黑体" w:hAnsi="黑体" w:cs="黑体" w:hint="eastAsia"/>
        </w:rPr>
      </w:pPr>
      <w:r>
        <w:rPr>
          <w:rFonts w:ascii="黑体" w:eastAsia="黑体" w:hAnsi="黑体" w:cs="黑体" w:hint="eastAsia"/>
        </w:rPr>
        <w:t>附件：</w:t>
      </w:r>
    </w:p>
    <w:p w14:paraId="3BCF4DE0" w14:textId="26762D1E" w:rsidR="00AB0EFF" w:rsidRDefault="00C93EDB">
      <w:pPr>
        <w:overflowPunct w:val="0"/>
        <w:spacing w:afterLines="30" w:after="176" w:line="600" w:lineRule="exact"/>
        <w:jc w:val="center"/>
        <w:rPr>
          <w:rFonts w:ascii="方正小标宋_GBK" w:eastAsia="方正小标宋_GBK" w:hAnsi="方正小标宋_GBK" w:cs="方正小标宋_GBK" w:hint="eastAsia"/>
          <w:spacing w:val="-20"/>
          <w:sz w:val="44"/>
          <w:szCs w:val="44"/>
        </w:rPr>
      </w:pPr>
      <w:r w:rsidRPr="00C93EDB">
        <w:rPr>
          <w:rFonts w:ascii="方正小标宋_GBK" w:eastAsia="方正小标宋_GBK" w:hAnsi="方正小标宋_GBK" w:cs="方正小标宋_GBK" w:hint="eastAsia"/>
          <w:sz w:val="44"/>
          <w:szCs w:val="44"/>
        </w:rPr>
        <w:t>《深圳市关于支持数字金融高质量发展的实施意见（征求意见稿）》</w:t>
      </w:r>
      <w:r>
        <w:rPr>
          <w:rFonts w:ascii="方正小标宋_GBK" w:eastAsia="方正小标宋_GBK" w:hAnsi="方正小标宋_GBK" w:cs="方正小标宋_GBK" w:hint="eastAsia"/>
          <w:sz w:val="44"/>
          <w:szCs w:val="44"/>
        </w:rPr>
        <w:t>社会公开</w:t>
      </w:r>
      <w:r w:rsidR="00000000">
        <w:rPr>
          <w:rFonts w:ascii="方正小标宋_GBK" w:eastAsia="方正小标宋_GBK" w:hAnsi="方正小标宋_GBK" w:cs="方正小标宋_GBK" w:hint="eastAsia"/>
          <w:spacing w:val="-20"/>
          <w:sz w:val="44"/>
          <w:szCs w:val="44"/>
        </w:rPr>
        <w:t>征求意见采纳情况表</w:t>
      </w:r>
    </w:p>
    <w:tbl>
      <w:tblPr>
        <w:tblStyle w:val="af0"/>
        <w:tblW w:w="14691" w:type="dxa"/>
        <w:jc w:val="center"/>
        <w:tblLook w:val="04A0" w:firstRow="1" w:lastRow="0" w:firstColumn="1" w:lastColumn="0" w:noHBand="0" w:noVBand="1"/>
      </w:tblPr>
      <w:tblGrid>
        <w:gridCol w:w="860"/>
        <w:gridCol w:w="1809"/>
        <w:gridCol w:w="9072"/>
        <w:gridCol w:w="2950"/>
      </w:tblGrid>
      <w:tr w:rsidR="00AB0EFF" w14:paraId="43E45BC9" w14:textId="77777777">
        <w:trPr>
          <w:tblHeader/>
          <w:jc w:val="center"/>
        </w:trPr>
        <w:tc>
          <w:tcPr>
            <w:tcW w:w="860" w:type="dxa"/>
            <w:vAlign w:val="center"/>
          </w:tcPr>
          <w:p w14:paraId="1AEB4C17" w14:textId="77777777" w:rsidR="00AB0EFF" w:rsidRDefault="00000000">
            <w:pPr>
              <w:overflowPunct w:val="0"/>
              <w:spacing w:line="460" w:lineRule="exact"/>
              <w:jc w:val="center"/>
              <w:rPr>
                <w:rFonts w:hAnsi="仿宋_GB2312" w:cs="仿宋_GB2312" w:hint="eastAsia"/>
                <w:sz w:val="24"/>
                <w:szCs w:val="24"/>
              </w:rPr>
            </w:pPr>
            <w:r>
              <w:rPr>
                <w:rFonts w:ascii="黑体" w:eastAsia="黑体" w:hAnsi="黑体" w:cs="黑体" w:hint="eastAsia"/>
                <w:sz w:val="24"/>
                <w:szCs w:val="24"/>
              </w:rPr>
              <w:t>序号</w:t>
            </w:r>
          </w:p>
        </w:tc>
        <w:tc>
          <w:tcPr>
            <w:tcW w:w="1809" w:type="dxa"/>
            <w:vAlign w:val="center"/>
          </w:tcPr>
          <w:p w14:paraId="4FD2CD4B" w14:textId="77777777" w:rsidR="00AB0EFF" w:rsidRDefault="00000000">
            <w:pPr>
              <w:overflowPunct w:val="0"/>
              <w:spacing w:line="460" w:lineRule="exact"/>
              <w:jc w:val="center"/>
              <w:rPr>
                <w:rFonts w:ascii="黑体" w:eastAsia="黑体" w:hAnsi="黑体" w:cs="黑体" w:hint="eastAsia"/>
                <w:sz w:val="24"/>
                <w:szCs w:val="24"/>
              </w:rPr>
            </w:pPr>
            <w:r>
              <w:rPr>
                <w:rFonts w:ascii="黑体" w:eastAsia="黑体" w:hAnsi="黑体" w:cs="黑体" w:hint="eastAsia"/>
                <w:sz w:val="24"/>
                <w:szCs w:val="24"/>
              </w:rPr>
              <w:t>单位</w:t>
            </w:r>
          </w:p>
        </w:tc>
        <w:tc>
          <w:tcPr>
            <w:tcW w:w="9072" w:type="dxa"/>
            <w:vAlign w:val="center"/>
          </w:tcPr>
          <w:p w14:paraId="651AA643" w14:textId="77777777" w:rsidR="00AB0EFF" w:rsidRDefault="00000000">
            <w:pPr>
              <w:overflowPunct w:val="0"/>
              <w:spacing w:line="460" w:lineRule="exact"/>
              <w:jc w:val="center"/>
              <w:rPr>
                <w:rFonts w:ascii="黑体" w:eastAsia="黑体" w:hAnsi="黑体" w:cs="黑体" w:hint="eastAsia"/>
                <w:sz w:val="24"/>
                <w:szCs w:val="24"/>
              </w:rPr>
            </w:pPr>
            <w:r>
              <w:rPr>
                <w:rFonts w:ascii="黑体" w:eastAsia="黑体" w:hAnsi="黑体" w:cs="黑体" w:hint="eastAsia"/>
                <w:sz w:val="24"/>
                <w:szCs w:val="24"/>
              </w:rPr>
              <w:t>意见</w:t>
            </w:r>
          </w:p>
        </w:tc>
        <w:tc>
          <w:tcPr>
            <w:tcW w:w="2950" w:type="dxa"/>
            <w:vAlign w:val="center"/>
          </w:tcPr>
          <w:p w14:paraId="4A694762" w14:textId="77777777" w:rsidR="00AB0EFF" w:rsidRDefault="00000000">
            <w:pPr>
              <w:overflowPunct w:val="0"/>
              <w:spacing w:line="460" w:lineRule="exact"/>
              <w:jc w:val="center"/>
              <w:rPr>
                <w:rFonts w:ascii="黑体" w:eastAsia="黑体" w:hAnsi="黑体" w:cs="黑体" w:hint="eastAsia"/>
                <w:sz w:val="24"/>
                <w:szCs w:val="24"/>
              </w:rPr>
            </w:pPr>
            <w:r>
              <w:rPr>
                <w:rFonts w:ascii="黑体" w:eastAsia="黑体" w:hAnsi="黑体" w:cs="黑体" w:hint="eastAsia"/>
                <w:sz w:val="24"/>
                <w:szCs w:val="24"/>
              </w:rPr>
              <w:t>采纳情况</w:t>
            </w:r>
          </w:p>
        </w:tc>
      </w:tr>
      <w:tr w:rsidR="00AB0EFF" w14:paraId="1507C8DC" w14:textId="77777777">
        <w:trPr>
          <w:trHeight w:val="460"/>
          <w:jc w:val="center"/>
        </w:trPr>
        <w:tc>
          <w:tcPr>
            <w:tcW w:w="860" w:type="dxa"/>
            <w:vAlign w:val="center"/>
          </w:tcPr>
          <w:p w14:paraId="2AA1F80D" w14:textId="77777777" w:rsidR="00AB0EFF" w:rsidRDefault="00000000">
            <w:pPr>
              <w:overflowPunct w:val="0"/>
              <w:spacing w:line="460" w:lineRule="exact"/>
              <w:jc w:val="center"/>
              <w:rPr>
                <w:rFonts w:hAnsi="仿宋_GB2312" w:cs="仿宋_GB2312" w:hint="eastAsia"/>
                <w:sz w:val="24"/>
                <w:szCs w:val="24"/>
              </w:rPr>
            </w:pPr>
            <w:r>
              <w:rPr>
                <w:rFonts w:hAnsi="仿宋_GB2312" w:cs="仿宋_GB2312" w:hint="eastAsia"/>
                <w:sz w:val="24"/>
                <w:szCs w:val="24"/>
              </w:rPr>
              <w:t>1</w:t>
            </w:r>
          </w:p>
        </w:tc>
        <w:tc>
          <w:tcPr>
            <w:tcW w:w="1809" w:type="dxa"/>
            <w:vAlign w:val="center"/>
          </w:tcPr>
          <w:p w14:paraId="22B5CFE2" w14:textId="77777777" w:rsidR="00AB0EFF" w:rsidRDefault="00000000">
            <w:pPr>
              <w:spacing w:after="0" w:line="240" w:lineRule="exact"/>
              <w:jc w:val="center"/>
              <w:rPr>
                <w:rFonts w:hAnsi="仿宋_GB2312" w:cs="仿宋_GB2312" w:hint="eastAsia"/>
                <w:sz w:val="21"/>
                <w:szCs w:val="21"/>
              </w:rPr>
            </w:pPr>
            <w:r>
              <w:rPr>
                <w:rFonts w:hAnsi="仿宋_GB2312" w:cs="仿宋_GB2312" w:hint="eastAsia"/>
                <w:sz w:val="21"/>
                <w:szCs w:val="21"/>
              </w:rPr>
              <w:t>弘基商业保理（深圳）有限公司</w:t>
            </w:r>
          </w:p>
          <w:p w14:paraId="33F4DDAE" w14:textId="77777777" w:rsidR="00AB0EFF" w:rsidRDefault="00AB0EFF">
            <w:pPr>
              <w:overflowPunct w:val="0"/>
              <w:spacing w:after="0" w:line="240" w:lineRule="exact"/>
              <w:jc w:val="center"/>
              <w:rPr>
                <w:rFonts w:hAnsi="仿宋_GB2312" w:cs="仿宋_GB2312" w:hint="eastAsia"/>
                <w:sz w:val="24"/>
                <w:szCs w:val="24"/>
              </w:rPr>
            </w:pPr>
          </w:p>
        </w:tc>
        <w:tc>
          <w:tcPr>
            <w:tcW w:w="9072" w:type="dxa"/>
            <w:vAlign w:val="center"/>
          </w:tcPr>
          <w:p w14:paraId="53E9281D"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1.加快金融机构数字化转型。</w:t>
            </w:r>
          </w:p>
          <w:p w14:paraId="32B4BA73"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1）商业保理是围绕产业供应链，并以应收账款为基础提供综合性金融服务。商业保理主要侧重于交易信用，从而有效得解决了中小微企业主体资质相对较弱，缺乏有效抵押物的难题，是解决中小微企业“融资难、融资贵”的重要手段。</w:t>
            </w:r>
          </w:p>
          <w:p w14:paraId="5A61A66B"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在保理业务中，买卖双方往往不局限于同一个地区，而是跨越多个省份或地区展开贸易活动，需要企业能够自由地在不同地区进行交易。目前，中国百分之九十五以上的商业保理公司集中在天津、上海、深圳、广州等地区。商业保理公司是服务中小微企业的重要力量，可以与传统金融机构形成互补。</w:t>
            </w:r>
          </w:p>
          <w:p w14:paraId="6F3A2C23"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支持符合政策要求、有规模的商业保理公司跨区域经营，有利于资源的充分利用，促进资源的流动和配置效率。用数字化、线上化方式，通过线上自动运营，可覆盖更多更广的客户，以实现资金的快速流转和风险分散，实现加快金融机构数字化转型目的。反之，商业保理公司在有限的区域内开展业务，不利于商业保理行业的发展和监管、不利于商业保理行业的风险控制、不利于建设全国统一大市场。</w:t>
            </w:r>
          </w:p>
          <w:p w14:paraId="25BC2FAE"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建议：</w:t>
            </w:r>
          </w:p>
          <w:p w14:paraId="3F7DEE84"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支持数字金融企业拓展经营范围：建议监管部门支持数字金融企业，发挥数字金融优势，拓宽地域范围。考虑实施分层管理，从实缴资本金、股东背景、管理团队、商业模式、经营业绩、不良率和监管评级等维度，设置跨区域经营准入门槛。既可促进数字金融企业有序稳健发展，又可确保了金融风险可控。</w:t>
            </w:r>
          </w:p>
          <w:p w14:paraId="5D3422A8"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 xml:space="preserve">（2）保理行业在支持中小企业发展方面发挥了积极作用，保理业务通过数字化手段优化应收账款管理，提升资金周转率，对于缓解中小企业融资难、融资贵问题具有重要意义。为进一步促进数字金融的健康发展，特别是增强保理公司在数字金融领域的竞争力与创新能力，需要大规模资金用以完善数字金融技术、强健平台根基。   </w:t>
            </w:r>
          </w:p>
          <w:p w14:paraId="342265AB"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建议：</w:t>
            </w:r>
          </w:p>
          <w:p w14:paraId="26A31469"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lastRenderedPageBreak/>
              <w:t>设立专项奖励：建议设立专项奖励，用于支持发展数字金融的保理企业，特别是在信息技术应用创新、数字人民币应用场景创新、合规科技创新应用等方面有突出创新的企业。</w:t>
            </w:r>
          </w:p>
          <w:p w14:paraId="5952B7F7"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2.充分发挥政务数据赋能作用。</w:t>
            </w:r>
          </w:p>
          <w:p w14:paraId="556864EF"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 xml:space="preserve">（1）为保证金融机构数字化转型纵深推进，金融机构数字化转型力度持续加大,充分利用数字化转型成果提高金融服务便利性和竞争力，质量服务实体经济发展。鼓励金融科技细分领域龙头企业，进一步提升金融科技产业生态环境。    </w:t>
            </w:r>
          </w:p>
          <w:p w14:paraId="20F4F560"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建议：</w:t>
            </w:r>
          </w:p>
          <w:p w14:paraId="70762177"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支持平台科技共建：鼓励保理公司加入政府服务平台，利用自身科技优势推动保理行业数据治理、挖掘和应用的共建工作。协助对接优秀金融科技类保理公司作为政府部门科技供应商提供服务，推动保理行业数据治理、挖掘和应用的共建工作。</w:t>
            </w:r>
          </w:p>
          <w:p w14:paraId="7EEEB7E8"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2）保理行业作为供应链金融的重要组成部分，在促进中小微企业融资、优化企业现金流、增强供应链韧性等方面发挥着日益重要的作用。然而，在实际运营过程中，保理公司面临着信息不对称、信用风险评估难度大等挑战，这些问题严重制约了保理业务的健康发展。</w:t>
            </w:r>
          </w:p>
          <w:p w14:paraId="27122BDB"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因此，具备科技实力的保理公司一直以来都有接入中国人民银行征信系统的迫切诉求。</w:t>
            </w:r>
          </w:p>
          <w:p w14:paraId="7F292BAC"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建议：</w:t>
            </w:r>
          </w:p>
          <w:p w14:paraId="697D71BF"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政策引导与协助：协助保理公司接入中国人民银行征信系统，以进一步提升金融服务效率、降低业务风险、促进保理行业的规范与繁荣。</w:t>
            </w:r>
          </w:p>
          <w:p w14:paraId="0C81ADCB"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3.支持数字人民币应用场景创新。</w:t>
            </w:r>
          </w:p>
          <w:p w14:paraId="65F4EC75"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利用数字人民币大额资金交易无时间限制、全流程可追溯交易记录的优势，可以实现保理业务授信资金闭环流转和资金用途的追踪。“数字人民币+保理业务”利用数字人民币的支付优势，保理企业可以为中小微企业提供365天24小时不间断融资服务，满足客户资金及时到账需求的同时，实现资金全流程可溯源，更加符合资金监管要求。</w:t>
            </w:r>
          </w:p>
          <w:p w14:paraId="002028B0"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企业需要不断投入研发创新科技力量，持续拓展数字人民币应用场景。包括：“数字人民币+供应链金融”实现了数字普惠金融服务“365天不下线”并确保交易安全；“数字人民币+税费缴纳”使得流程更快、体验更优，隐私性更强；“数字人民币+薪酬发放”将工资定向、定时、定人，避免劳务款挪用；“数字人民币+智能合约+慈善捐赠”让公益更透明、捐赠更有公信力。数字人民币应用在电商场景也有重要价值，电商行业的资金需求有临时性、紧急性、及时性特点，用款需求会出现在节假日、休息日，由于电商发货有时效性，随时可能需要资金快速投入生产、采购、物流环节以应对企业销售需求。因此，数字人民币在电商场景有着广阔的应用前景。</w:t>
            </w:r>
          </w:p>
          <w:p w14:paraId="6CC595CB"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未来保理企业还会不断投入资金和科技力量，拓展创新数字人民币应用场景，推进普惠金融在供应链链条上，精准服务到实体经济末端，持续加大对中小微企业发展的支持力度。</w:t>
            </w:r>
          </w:p>
          <w:p w14:paraId="73106CE1"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建议：</w:t>
            </w:r>
          </w:p>
          <w:p w14:paraId="582DDDC3"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lastRenderedPageBreak/>
              <w:t>对于使用数字人民币开展应收账款保理业务的保理公司，按照其实际放款额给予一定比例奖励。促进保理公司加速技术创新，积极参与数币创新业务，实现金融科技创新与实体经济融合发展。</w:t>
            </w:r>
          </w:p>
          <w:p w14:paraId="72A15C93"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4.推动合规科技创新应用。</w:t>
            </w:r>
          </w:p>
          <w:p w14:paraId="33697255"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明确应收账款登记与债权通知的优先性、完善保理业务中应收账款财产保全程序，并推动其向数字化、线上化转型，是提升市场效率、保障交易安全、促进经济高质量发展的重要举措。</w:t>
            </w:r>
          </w:p>
          <w:p w14:paraId="6F53F554"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中华人民共和国民法典》第七百六十八条规定：“应收账款债权人就同一应收账款订立多个保理合同，致使多个保理人主张权利的，已经登记的先于未登记的取得应收账款；均已经登记的，按照登记时间的先后顺序取得应收账款；...”认可了保理业务中的债权让与登记具有权利公示的法律效果，保理业务中债权让与一经登记即可产生对抗第三人的法律效力。</w:t>
            </w:r>
          </w:p>
          <w:p w14:paraId="02F7782D"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但在实际执行过程中，在债权让与人（即“原债权人”）将应收账款债权转让给保理商，且保理商或原债权人也将债权转让事宜通知债务人后，原债权人的其他债权人却仍然可以将上述“应收账款债权”作为财产保全的标的。导致保理业务的开展遭遇重大困难，随时可能承受应收账款无法收回、延期收回带来的损失和风险。</w:t>
            </w:r>
          </w:p>
          <w:p w14:paraId="6ACA161C" w14:textId="77777777" w:rsidR="00AB0EFF" w:rsidRDefault="00000000">
            <w:pPr>
              <w:overflowPunct w:val="0"/>
              <w:spacing w:after="0" w:line="240" w:lineRule="exact"/>
              <w:rPr>
                <w:rFonts w:hAnsi="仿宋_GB2312" w:cs="仿宋_GB2312" w:hint="eastAsia"/>
                <w:sz w:val="21"/>
                <w:szCs w:val="21"/>
              </w:rPr>
            </w:pPr>
            <w:r>
              <w:rPr>
                <w:rFonts w:hAnsi="仿宋_GB2312" w:cs="仿宋_GB2312" w:hint="eastAsia"/>
                <w:sz w:val="21"/>
                <w:szCs w:val="21"/>
              </w:rPr>
              <w:t>另外，根据《中华人民共和国民法典》第五百四十六条规定：“债权人转让债权，未通知债务人的，该转让对债务人不发生效力。”因此，应收账款转让对债务人生效的要件是通知，但债务人债权让与通知在实操中存在诸多弊端。比如，邮寄债权让与通知时，要证明邮寄的内容、邮件送达、签收人适格等，证据要求较高，费时费力还难以达到证据要求；又如，债权让与通知的签收，可以通过倒签时间的方式进行证明，这就使得在先的债权让与通知的效力无法锁定。客观上导致在先的债权让与却无法对抗在后的债权让与，严重违反了诚实信用原则、损害了交易安全。</w:t>
            </w:r>
          </w:p>
          <w:p w14:paraId="65BF201D" w14:textId="77777777" w:rsidR="00AB0EFF" w:rsidRDefault="00000000">
            <w:pPr>
              <w:overflowPunct w:val="0"/>
              <w:spacing w:after="0" w:line="240" w:lineRule="exact"/>
              <w:rPr>
                <w:rFonts w:hAnsi="仿宋_GB2312" w:cs="仿宋_GB2312" w:hint="eastAsia"/>
                <w:b/>
                <w:bCs/>
                <w:sz w:val="21"/>
                <w:szCs w:val="21"/>
              </w:rPr>
            </w:pPr>
            <w:r>
              <w:rPr>
                <w:rFonts w:hAnsi="仿宋_GB2312" w:cs="仿宋_GB2312" w:hint="eastAsia"/>
                <w:b/>
                <w:bCs/>
                <w:sz w:val="21"/>
                <w:szCs w:val="21"/>
              </w:rPr>
              <w:t>建议：</w:t>
            </w:r>
          </w:p>
          <w:p w14:paraId="703FF7B0"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明确法律法规、完善执行流程：建议立法机关进一步细化应收账款登记与债权通知的法律法规，明确赋予保理业务中应收账款债权让与登记对抗第三人的法律效力。保障登记人权益，降低应收账款重复转让场景。</w:t>
            </w:r>
          </w:p>
          <w:p w14:paraId="610DFE24" w14:textId="77777777" w:rsidR="00AB0EFF" w:rsidRDefault="00000000">
            <w:pPr>
              <w:overflowPunct w:val="0"/>
              <w:spacing w:after="0" w:line="240" w:lineRule="exact"/>
              <w:ind w:firstLineChars="200" w:firstLine="412"/>
              <w:rPr>
                <w:rFonts w:hAnsi="仿宋_GB2312" w:cs="仿宋_GB2312" w:hint="eastAsia"/>
                <w:sz w:val="21"/>
                <w:szCs w:val="21"/>
              </w:rPr>
            </w:pPr>
            <w:r>
              <w:rPr>
                <w:rFonts w:hAnsi="仿宋_GB2312" w:cs="仿宋_GB2312" w:hint="eastAsia"/>
                <w:sz w:val="21"/>
                <w:szCs w:val="21"/>
              </w:rPr>
              <w:t>建议法院在进行财产保全之前，通过中国人民银行征信中心动产融资统一登记平台进行查询。对于已进行债权让与登记的，法院先询问保理商是否进行了债权受让且已经向债务人发出债权让与通知，并要求保理商提供相应证明材料。如保理商提供了保理协议等债权让与文件及让与通知证明，法院不应再对该应收账款进行财产保全或执行。</w:t>
            </w:r>
          </w:p>
          <w:p w14:paraId="70DB97CC" w14:textId="77777777" w:rsidR="00AB0EFF" w:rsidRDefault="00000000">
            <w:pPr>
              <w:pStyle w:val="a0"/>
              <w:spacing w:after="0" w:line="240" w:lineRule="exact"/>
              <w:ind w:firstLineChars="200" w:firstLine="412"/>
              <w:rPr>
                <w:rFonts w:hint="eastAsia"/>
                <w:sz w:val="21"/>
                <w:szCs w:val="21"/>
                <w:lang w:val="en-US" w:bidi="ar-SA"/>
              </w:rPr>
            </w:pPr>
            <w:r>
              <w:rPr>
                <w:rFonts w:hint="eastAsia"/>
                <w:sz w:val="21"/>
                <w:szCs w:val="21"/>
                <w:lang w:val="en-US" w:bidi="ar-SA"/>
              </w:rPr>
              <w:t>自动查重与自动登记：利用科技技术，实现应收账款登记信息的自动查重与自动登记。通过技术手段确保信息的唯一性与准确性，避免重复登记与虚假登记，同时大幅提高登记、查询效率。</w:t>
            </w:r>
          </w:p>
          <w:p w14:paraId="335B5C74" w14:textId="77777777" w:rsidR="00AB0EFF" w:rsidRDefault="00AB0EFF">
            <w:pPr>
              <w:overflowPunct w:val="0"/>
              <w:spacing w:after="0" w:line="240" w:lineRule="exact"/>
              <w:ind w:firstLineChars="200" w:firstLine="472"/>
              <w:rPr>
                <w:rFonts w:hAnsi="仿宋_GB2312" w:cs="仿宋_GB2312" w:hint="eastAsia"/>
                <w:sz w:val="24"/>
                <w:szCs w:val="24"/>
              </w:rPr>
            </w:pPr>
          </w:p>
        </w:tc>
        <w:tc>
          <w:tcPr>
            <w:tcW w:w="2950" w:type="dxa"/>
            <w:vAlign w:val="center"/>
          </w:tcPr>
          <w:p w14:paraId="52F6A4FB" w14:textId="77777777" w:rsidR="00AB0EFF" w:rsidRDefault="00000000">
            <w:pPr>
              <w:overflowPunct w:val="0"/>
              <w:spacing w:after="0" w:line="240" w:lineRule="exact"/>
              <w:jc w:val="left"/>
              <w:rPr>
                <w:rFonts w:hAnsi="仿宋_GB2312" w:cs="仿宋_GB2312" w:hint="eastAsia"/>
                <w:sz w:val="21"/>
                <w:szCs w:val="21"/>
                <w:lang w:val="zh-CN" w:bidi="zh-CN"/>
              </w:rPr>
            </w:pPr>
            <w:r>
              <w:rPr>
                <w:rFonts w:hAnsi="仿宋_GB2312" w:cs="仿宋_GB2312" w:hint="eastAsia"/>
                <w:sz w:val="21"/>
                <w:szCs w:val="21"/>
                <w:lang w:bidi="zh-CN"/>
              </w:rPr>
              <w:lastRenderedPageBreak/>
              <w:t>结合业务实际</w:t>
            </w:r>
            <w:r>
              <w:rPr>
                <w:rFonts w:hAnsi="仿宋_GB2312" w:cs="仿宋_GB2312"/>
                <w:sz w:val="21"/>
                <w:szCs w:val="21"/>
                <w:lang w:bidi="zh-CN"/>
              </w:rPr>
              <w:t>酌情采纳。</w:t>
            </w:r>
          </w:p>
          <w:p w14:paraId="5B241F07" w14:textId="77777777" w:rsidR="00AB0EFF" w:rsidRDefault="00000000">
            <w:pPr>
              <w:overflowPunct w:val="0"/>
              <w:spacing w:after="0" w:line="240" w:lineRule="exact"/>
              <w:jc w:val="left"/>
              <w:rPr>
                <w:rFonts w:hAnsi="仿宋_GB2312" w:cs="仿宋_GB2312" w:hint="eastAsia"/>
                <w:sz w:val="21"/>
                <w:szCs w:val="21"/>
                <w:lang w:val="zh-CN" w:bidi="zh-CN"/>
              </w:rPr>
            </w:pPr>
            <w:r>
              <w:rPr>
                <w:rFonts w:hAnsi="仿宋_GB2312" w:cs="仿宋_GB2312" w:hint="eastAsia"/>
                <w:sz w:val="21"/>
                <w:szCs w:val="21"/>
                <w:lang w:val="zh-CN" w:bidi="zh-CN"/>
              </w:rPr>
              <w:t>解释：1.“建议监管部门支持数字金融企业，发挥数字金融优势，拓宽地域范围。”</w:t>
            </w:r>
            <w:r>
              <w:rPr>
                <w:rFonts w:hAnsi="仿宋_GB2312" w:cs="仿宋_GB2312"/>
                <w:sz w:val="21"/>
                <w:szCs w:val="21"/>
                <w:lang w:val="zh-CN" w:bidi="zh-CN"/>
              </w:rPr>
              <w:t>根据</w:t>
            </w:r>
            <w:r>
              <w:rPr>
                <w:rFonts w:hAnsi="仿宋_GB2312" w:cs="仿宋_GB2312" w:hint="eastAsia"/>
                <w:sz w:val="21"/>
                <w:szCs w:val="21"/>
                <w:lang w:val="zh-CN" w:bidi="zh-CN"/>
              </w:rPr>
              <w:t>有关</w:t>
            </w:r>
            <w:r>
              <w:rPr>
                <w:rFonts w:hAnsi="仿宋_GB2312" w:cs="仿宋_GB2312"/>
                <w:sz w:val="21"/>
                <w:szCs w:val="21"/>
                <w:lang w:val="zh-CN" w:bidi="zh-CN"/>
              </w:rPr>
              <w:t>规定，地方金融组织应当坚持服务本地原则，在地方金融监督管理部门批准的区域范围内经营业务</w:t>
            </w:r>
            <w:r>
              <w:rPr>
                <w:rFonts w:hAnsi="仿宋_GB2312" w:cs="仿宋_GB2312" w:hint="eastAsia"/>
                <w:sz w:val="21"/>
                <w:szCs w:val="21"/>
                <w:lang w:val="zh-CN" w:bidi="zh-CN"/>
              </w:rPr>
              <w:t>。</w:t>
            </w:r>
          </w:p>
          <w:p w14:paraId="13C73453" w14:textId="77777777" w:rsidR="00AB0EFF" w:rsidRDefault="00000000">
            <w:pPr>
              <w:overflowPunct w:val="0"/>
              <w:spacing w:after="0" w:line="240" w:lineRule="exact"/>
              <w:rPr>
                <w:rFonts w:hAnsi="仿宋_GB2312" w:cs="仿宋_GB2312" w:hint="eastAsia"/>
                <w:sz w:val="21"/>
                <w:szCs w:val="21"/>
                <w:lang w:val="zh-CN" w:bidi="zh-CN"/>
              </w:rPr>
            </w:pPr>
            <w:r>
              <w:rPr>
                <w:rFonts w:hAnsi="仿宋_GB2312" w:cs="仿宋_GB2312" w:hint="eastAsia"/>
                <w:sz w:val="21"/>
                <w:szCs w:val="21"/>
                <w:lang w:val="zh-CN" w:bidi="zh-CN"/>
              </w:rPr>
              <w:t>解释：2.“设立专项奖励：建议设立专项奖励，用于支持发展数字金融的保理企业，特别是在信息技术应用创新、数字人民币应用场景创新、合规科技创新应用等方面有突出创新的企业。”已结合实际采纳，鼓励</w:t>
            </w:r>
            <w:r>
              <w:rPr>
                <w:rFonts w:hAnsi="仿宋_GB2312" w:cs="仿宋_GB2312"/>
                <w:sz w:val="21"/>
                <w:szCs w:val="21"/>
                <w:lang w:val="zh-CN" w:bidi="zh-CN"/>
              </w:rPr>
              <w:t>各区根据实际情况</w:t>
            </w:r>
            <w:r>
              <w:rPr>
                <w:rFonts w:hAnsi="仿宋_GB2312" w:cs="仿宋_GB2312" w:hint="eastAsia"/>
                <w:sz w:val="21"/>
                <w:szCs w:val="21"/>
                <w:lang w:val="zh-CN" w:bidi="zh-CN"/>
              </w:rPr>
              <w:t>提供</w:t>
            </w:r>
            <w:r>
              <w:rPr>
                <w:rFonts w:hAnsi="仿宋_GB2312" w:cs="仿宋_GB2312"/>
                <w:sz w:val="21"/>
                <w:szCs w:val="21"/>
                <w:lang w:val="zh-CN" w:bidi="zh-CN"/>
              </w:rPr>
              <w:t>必要</w:t>
            </w:r>
            <w:r>
              <w:rPr>
                <w:rFonts w:hAnsi="仿宋_GB2312" w:cs="仿宋_GB2312" w:hint="eastAsia"/>
                <w:sz w:val="21"/>
                <w:szCs w:val="21"/>
                <w:lang w:val="zh-CN" w:bidi="zh-CN"/>
              </w:rPr>
              <w:t>数字化转型</w:t>
            </w:r>
            <w:r>
              <w:rPr>
                <w:rFonts w:hAnsi="仿宋_GB2312" w:cs="仿宋_GB2312"/>
                <w:sz w:val="21"/>
                <w:szCs w:val="21"/>
                <w:lang w:val="zh-CN" w:bidi="zh-CN"/>
              </w:rPr>
              <w:t>支持</w:t>
            </w:r>
            <w:r>
              <w:rPr>
                <w:rFonts w:hAnsi="仿宋_GB2312" w:cs="仿宋_GB2312" w:hint="eastAsia"/>
                <w:sz w:val="21"/>
                <w:szCs w:val="21"/>
                <w:lang w:val="zh-CN" w:bidi="zh-CN"/>
              </w:rPr>
              <w:t>。</w:t>
            </w:r>
          </w:p>
          <w:p w14:paraId="5C2F1364" w14:textId="77777777" w:rsidR="00AB0EFF" w:rsidRDefault="00000000">
            <w:pPr>
              <w:overflowPunct w:val="0"/>
              <w:spacing w:after="0" w:line="240" w:lineRule="exact"/>
              <w:rPr>
                <w:rFonts w:hAnsi="仿宋_GB2312" w:cs="仿宋_GB2312" w:hint="eastAsia"/>
                <w:sz w:val="21"/>
                <w:szCs w:val="21"/>
                <w:lang w:val="zh-CN" w:bidi="zh-CN"/>
              </w:rPr>
            </w:pPr>
            <w:r>
              <w:rPr>
                <w:rFonts w:hAnsi="仿宋_GB2312" w:cs="仿宋_GB2312" w:hint="eastAsia"/>
                <w:sz w:val="21"/>
                <w:szCs w:val="21"/>
                <w:lang w:val="zh-CN" w:bidi="zh-CN"/>
              </w:rPr>
              <w:t>解释：3.“政策引导与协助：协助保理公司接入中国人民银行征信系统，以进一步提升金融服务效率、降低业务风险、促进保理行业的规范与繁荣。”</w:t>
            </w:r>
            <w:r>
              <w:rPr>
                <w:rFonts w:hAnsi="仿宋_GB2312" w:cs="仿宋_GB2312"/>
                <w:sz w:val="21"/>
                <w:szCs w:val="21"/>
                <w:lang w:val="zh-CN" w:bidi="zh-CN"/>
              </w:rPr>
              <w:t xml:space="preserve"> </w:t>
            </w:r>
            <w:r>
              <w:rPr>
                <w:rFonts w:hAnsi="仿宋_GB2312" w:cs="仿宋_GB2312" w:hint="eastAsia"/>
                <w:sz w:val="21"/>
                <w:szCs w:val="21"/>
                <w:lang w:val="zh-CN" w:bidi="zh-CN"/>
              </w:rPr>
              <w:t>“</w:t>
            </w:r>
            <w:r>
              <w:rPr>
                <w:rFonts w:hAnsi="仿宋_GB2312" w:cs="仿宋_GB2312" w:hint="eastAsia"/>
                <w:sz w:val="21"/>
                <w:szCs w:val="21"/>
              </w:rPr>
              <w:t>对于使用数字人民币开展应</w:t>
            </w:r>
            <w:r>
              <w:rPr>
                <w:rFonts w:hAnsi="仿宋_GB2312" w:cs="仿宋_GB2312" w:hint="eastAsia"/>
                <w:sz w:val="21"/>
                <w:szCs w:val="21"/>
              </w:rPr>
              <w:lastRenderedPageBreak/>
              <w:t>收账款保理业务的保理公司，按照其实际放款额给予一定比例奖励。</w:t>
            </w:r>
            <w:r>
              <w:rPr>
                <w:rFonts w:hint="eastAsia"/>
                <w:sz w:val="21"/>
                <w:szCs w:val="21"/>
              </w:rPr>
              <w:t>”</w:t>
            </w:r>
            <w:r>
              <w:rPr>
                <w:rFonts w:hAnsi="仿宋_GB2312" w:cs="仿宋_GB2312" w:hint="eastAsia"/>
                <w:sz w:val="21"/>
                <w:szCs w:val="21"/>
                <w:lang w:val="zh-CN" w:bidi="zh-CN"/>
              </w:rPr>
              <w:t>“明确法律法规、完善执行流程。”等业务层面建议，后续将在推动保理行业工作中予以开展。</w:t>
            </w:r>
          </w:p>
        </w:tc>
      </w:tr>
      <w:tr w:rsidR="00AB0EFF" w14:paraId="7940D4D5" w14:textId="77777777">
        <w:trPr>
          <w:trHeight w:val="460"/>
          <w:jc w:val="center"/>
        </w:trPr>
        <w:tc>
          <w:tcPr>
            <w:tcW w:w="860" w:type="dxa"/>
            <w:vAlign w:val="center"/>
          </w:tcPr>
          <w:p w14:paraId="66B1581E" w14:textId="77777777" w:rsidR="00AB0EFF" w:rsidRDefault="00000000">
            <w:pPr>
              <w:overflowPunct w:val="0"/>
              <w:spacing w:line="460" w:lineRule="exact"/>
              <w:jc w:val="center"/>
              <w:rPr>
                <w:rFonts w:hAnsi="仿宋_GB2312" w:cs="仿宋_GB2312" w:hint="eastAsia"/>
                <w:sz w:val="24"/>
                <w:szCs w:val="24"/>
              </w:rPr>
            </w:pPr>
            <w:r>
              <w:rPr>
                <w:rFonts w:hAnsi="仿宋_GB2312" w:cs="仿宋_GB2312" w:hint="eastAsia"/>
                <w:sz w:val="24"/>
                <w:szCs w:val="24"/>
              </w:rPr>
              <w:lastRenderedPageBreak/>
              <w:t>2</w:t>
            </w:r>
          </w:p>
        </w:tc>
        <w:tc>
          <w:tcPr>
            <w:tcW w:w="1809" w:type="dxa"/>
            <w:vAlign w:val="center"/>
          </w:tcPr>
          <w:p w14:paraId="3C8E5994" w14:textId="77777777" w:rsidR="00AB0EFF" w:rsidRDefault="00000000">
            <w:pPr>
              <w:overflowPunct w:val="0"/>
              <w:spacing w:after="0" w:line="240" w:lineRule="exact"/>
              <w:jc w:val="center"/>
              <w:rPr>
                <w:rFonts w:hAnsi="仿宋_GB2312" w:cs="仿宋_GB2312" w:hint="eastAsia"/>
                <w:sz w:val="24"/>
                <w:szCs w:val="24"/>
              </w:rPr>
            </w:pPr>
            <w:r>
              <w:rPr>
                <w:rFonts w:hAnsi="仿宋_GB2312" w:cs="仿宋_GB2312" w:hint="eastAsia"/>
                <w:sz w:val="24"/>
                <w:szCs w:val="24"/>
              </w:rPr>
              <w:t>市标准院</w:t>
            </w:r>
          </w:p>
        </w:tc>
        <w:tc>
          <w:tcPr>
            <w:tcW w:w="9072" w:type="dxa"/>
            <w:vAlign w:val="center"/>
          </w:tcPr>
          <w:p w14:paraId="3C0F6512" w14:textId="77777777" w:rsidR="00AB0EFF" w:rsidRDefault="00000000">
            <w:pPr>
              <w:spacing w:after="0" w:line="240" w:lineRule="exact"/>
              <w:ind w:firstLineChars="200" w:firstLine="413"/>
              <w:rPr>
                <w:rFonts w:hAnsi="仿宋_GB2312" w:cs="仿宋_GB2312" w:hint="eastAsia"/>
                <w:sz w:val="21"/>
                <w:szCs w:val="21"/>
              </w:rPr>
            </w:pPr>
            <w:r>
              <w:rPr>
                <w:rFonts w:hAnsi="仿宋_GB2312" w:cs="仿宋_GB2312" w:hint="eastAsia"/>
                <w:b/>
                <w:bCs/>
                <w:sz w:val="21"/>
                <w:szCs w:val="21"/>
              </w:rPr>
              <w:t>建议在</w:t>
            </w:r>
            <w:r>
              <w:rPr>
                <w:rFonts w:hAnsi="仿宋_GB2312" w:cs="仿宋_GB2312" w:hint="eastAsia"/>
                <w:sz w:val="21"/>
                <w:szCs w:val="21"/>
              </w:rPr>
              <w:t>“6.推动基于数据资产的金融创新”中增加“数据知识产权”相关内容。具体为：“6.推动基于数据资产的金融创新。探索数据知识产权登记应用，开展数据知识产权质押融资、保险、</w:t>
            </w:r>
            <w:r>
              <w:rPr>
                <w:rFonts w:hAnsi="仿宋_GB2312" w:cs="仿宋_GB2312" w:hint="eastAsia"/>
                <w:sz w:val="21"/>
                <w:szCs w:val="21"/>
              </w:rPr>
              <w:lastRenderedPageBreak/>
              <w:t>证券化等金融创新服务，推动数据要素在赋能金融普惠、金融创新等领域发挥更大作用。依托深圳数据交易所开展基于数据资产的金融创新应用，支持金融机构与深圳数据交易所开展数据资产入表、数据产品孵化、“数据+金融”产业服务等合作。”</w:t>
            </w:r>
          </w:p>
          <w:p w14:paraId="35A5495E" w14:textId="77777777" w:rsidR="00AB0EFF" w:rsidRDefault="00000000">
            <w:pPr>
              <w:spacing w:after="0" w:line="240" w:lineRule="exact"/>
              <w:ind w:firstLineChars="200" w:firstLine="412"/>
              <w:rPr>
                <w:rFonts w:hAnsi="仿宋_GB2312" w:cs="仿宋_GB2312" w:hint="eastAsia"/>
                <w:sz w:val="21"/>
                <w:szCs w:val="21"/>
              </w:rPr>
            </w:pPr>
            <w:r>
              <w:rPr>
                <w:rFonts w:hAnsi="仿宋_GB2312" w:cs="仿宋_GB2312" w:hint="eastAsia"/>
                <w:sz w:val="21"/>
                <w:szCs w:val="21"/>
              </w:rPr>
              <w:t>理由：国家层面高度重视数据产权制度探索与构建工作。自2021年以来，国家知识产权局在浙江、上海、深圳等17个省市开展数据知识产权试点工作。在数据知识产权制度规则、登记实践、权益保护、交易运用等方面取得了显著成效。在金融应用方面，数据知识产权登记证书已广泛应用于数据资产入表、数据资产增信、数据保险等金融创新领域。尤其是在质押融资方面，截至目前，全国数据知识产权质押融资金额接近30亿元。</w:t>
            </w:r>
          </w:p>
          <w:p w14:paraId="20FC6F38" w14:textId="77777777" w:rsidR="00AB0EFF" w:rsidRDefault="00000000">
            <w:pPr>
              <w:spacing w:after="0" w:line="240" w:lineRule="exact"/>
              <w:ind w:firstLineChars="200" w:firstLine="412"/>
              <w:rPr>
                <w:rFonts w:hAnsi="仿宋_GB2312" w:cs="仿宋_GB2312" w:hint="eastAsia"/>
                <w:sz w:val="21"/>
                <w:szCs w:val="21"/>
              </w:rPr>
            </w:pPr>
            <w:r>
              <w:rPr>
                <w:rFonts w:hAnsi="仿宋_GB2312" w:cs="仿宋_GB2312" w:hint="eastAsia"/>
                <w:sz w:val="21"/>
                <w:szCs w:val="21"/>
              </w:rPr>
              <w:t>深圳于2022年11月29日上线全国首个数据知识产权登记系统，持续开展数据知识产权登记与应用实践。截至2024年9月24日，已完成数据存证1483件，收到数据知识产权登记申请1068件，发放数据知识产权登记证书479件，登记数据规模达24亿条。在全国已开展登记实践的8个试点省市中，发证量排名第3。在数据知识产权登记证书的应用方面，在数据资产入表、数据质押融资、数据保险等领域形成多项应用成果。目前，正在积极探索推进数据知识产权证券化工作。</w:t>
            </w:r>
          </w:p>
          <w:p w14:paraId="0F43898B" w14:textId="77777777" w:rsidR="00AB0EFF" w:rsidRDefault="00000000">
            <w:pPr>
              <w:spacing w:after="0" w:line="240" w:lineRule="exact"/>
              <w:ind w:firstLineChars="200" w:firstLine="412"/>
              <w:rPr>
                <w:rFonts w:hAnsi="仿宋_GB2312" w:cs="仿宋_GB2312" w:hint="eastAsia"/>
                <w:sz w:val="21"/>
                <w:szCs w:val="21"/>
              </w:rPr>
            </w:pPr>
            <w:r>
              <w:rPr>
                <w:rFonts w:hAnsi="仿宋_GB2312" w:cs="仿宋_GB2312" w:hint="eastAsia"/>
                <w:sz w:val="21"/>
                <w:szCs w:val="21"/>
              </w:rPr>
              <w:t>数据知识产权登记为数据资产的金融应用提供最基础的保障作用。自2024年9月10日起，各省市数据知识产权登记系统已接入国家知识产权局数据知识产权登记管理系统，由国家知识产权局对数据知识产权登记证书进行统一编号、统一格式、统一管理，实现全国通用。结合该证书的权威性、规范性、以及在金融等领域的广泛应用性，建议对上述条款进行完善，全面发挥该证书在金融应用方面的基础作用。</w:t>
            </w:r>
          </w:p>
          <w:p w14:paraId="2D0056F0" w14:textId="77777777" w:rsidR="00AB0EFF" w:rsidRDefault="00AB0EFF">
            <w:pPr>
              <w:pStyle w:val="a0"/>
              <w:spacing w:after="0" w:line="240" w:lineRule="exact"/>
              <w:rPr>
                <w:rFonts w:hint="eastAsia"/>
                <w:lang w:val="en-US" w:bidi="ar-SA"/>
              </w:rPr>
            </w:pPr>
          </w:p>
        </w:tc>
        <w:tc>
          <w:tcPr>
            <w:tcW w:w="2950" w:type="dxa"/>
            <w:vAlign w:val="center"/>
          </w:tcPr>
          <w:p w14:paraId="01140CEF" w14:textId="77777777" w:rsidR="00AB0EFF" w:rsidRDefault="00000000">
            <w:pPr>
              <w:pStyle w:val="a0"/>
              <w:spacing w:after="0" w:line="240" w:lineRule="exact"/>
              <w:rPr>
                <w:rFonts w:asciiTheme="minorHAnsi" w:hAnsiTheme="minorHAnsi"/>
                <w:sz w:val="24"/>
                <w:szCs w:val="24"/>
                <w:lang w:val="en-US"/>
              </w:rPr>
            </w:pPr>
            <w:r>
              <w:rPr>
                <w:rFonts w:hint="eastAsia"/>
                <w:sz w:val="21"/>
                <w:szCs w:val="21"/>
              </w:rPr>
              <w:lastRenderedPageBreak/>
              <w:t>已采纳。增加数据知识产权质押融资有关表述。</w:t>
            </w:r>
          </w:p>
        </w:tc>
      </w:tr>
    </w:tbl>
    <w:p w14:paraId="4731EF6F" w14:textId="77777777" w:rsidR="00AB0EFF" w:rsidRDefault="00AB0EFF">
      <w:pPr>
        <w:pStyle w:val="a0"/>
        <w:rPr>
          <w:rFonts w:hint="eastAsia"/>
        </w:rPr>
      </w:pPr>
    </w:p>
    <w:sectPr w:rsidR="00AB0EFF">
      <w:headerReference w:type="default" r:id="rId7"/>
      <w:footerReference w:type="even" r:id="rId8"/>
      <w:footerReference w:type="default" r:id="rId9"/>
      <w:pgSz w:w="16838" w:h="11906" w:orient="landscape"/>
      <w:pgMar w:top="1587" w:right="2098" w:bottom="1474" w:left="1984" w:header="851" w:footer="1361" w:gutter="0"/>
      <w:pgNumType w:fmt="numberInDash"/>
      <w:cols w:space="720"/>
      <w:docGrid w:type="linesAndChars" w:linePitch="58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A9779" w14:textId="77777777" w:rsidR="009861CB" w:rsidRDefault="009861CB">
      <w:pPr>
        <w:spacing w:line="240" w:lineRule="auto"/>
        <w:rPr>
          <w:rFonts w:hint="eastAsia"/>
        </w:rPr>
      </w:pPr>
      <w:r>
        <w:separator/>
      </w:r>
    </w:p>
  </w:endnote>
  <w:endnote w:type="continuationSeparator" w:id="0">
    <w:p w14:paraId="3559A567" w14:textId="77777777" w:rsidR="009861CB" w:rsidRDefault="009861C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80A28" w14:textId="77777777" w:rsidR="00AB0EFF" w:rsidRDefault="00000000">
    <w:pPr>
      <w:pStyle w:val="aa"/>
      <w:framePr w:wrap="around" w:vAnchor="text" w:hAnchor="page" w:x="1475" w:y="27"/>
      <w:rPr>
        <w:rStyle w:val="af1"/>
        <w:rFonts w:ascii="宋体" w:eastAsia="宋体" w:hAnsi="宋体" w:hint="eastAsia"/>
        <w:sz w:val="28"/>
        <w:szCs w:val="28"/>
      </w:rPr>
    </w:pPr>
    <w:r>
      <w:rPr>
        <w:rFonts w:ascii="宋体" w:eastAsia="宋体" w:hAnsi="宋体"/>
        <w:sz w:val="28"/>
        <w:szCs w:val="28"/>
      </w:rPr>
      <w:fldChar w:fldCharType="begin"/>
    </w:r>
    <w:r>
      <w:rPr>
        <w:rStyle w:val="af1"/>
        <w:rFonts w:ascii="宋体" w:eastAsia="宋体" w:hAnsi="宋体"/>
        <w:sz w:val="28"/>
        <w:szCs w:val="28"/>
      </w:rPr>
      <w:instrText xml:space="preserve">PAGE  </w:instrText>
    </w:r>
    <w:r>
      <w:rPr>
        <w:rFonts w:ascii="宋体" w:eastAsia="宋体" w:hAnsi="宋体"/>
        <w:sz w:val="28"/>
        <w:szCs w:val="28"/>
      </w:rPr>
      <w:fldChar w:fldCharType="separate"/>
    </w:r>
    <w:r>
      <w:rPr>
        <w:rStyle w:val="af1"/>
        <w:rFonts w:ascii="宋体" w:eastAsia="宋体" w:hAnsi="宋体"/>
        <w:sz w:val="28"/>
        <w:szCs w:val="28"/>
      </w:rPr>
      <w:t>- 2 -</w:t>
    </w:r>
    <w:r>
      <w:rPr>
        <w:rFonts w:ascii="宋体" w:eastAsia="宋体" w:hAnsi="宋体"/>
        <w:sz w:val="28"/>
        <w:szCs w:val="28"/>
      </w:rPr>
      <w:fldChar w:fldCharType="end"/>
    </w:r>
  </w:p>
  <w:p w14:paraId="45CA8A54" w14:textId="77777777" w:rsidR="00AB0EFF" w:rsidRDefault="00AB0EFF">
    <w:pPr>
      <w:pStyle w:val="aa"/>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DF2E" w14:textId="77777777" w:rsidR="00AB0EFF" w:rsidRDefault="00000000">
    <w:pPr>
      <w:pStyle w:val="aa"/>
      <w:framePr w:wrap="around" w:vAnchor="text" w:hAnchor="margin" w:xAlign="outside" w:y="1"/>
      <w:rPr>
        <w:rStyle w:val="af1"/>
        <w:rFonts w:ascii="宋体" w:eastAsia="宋体" w:hAnsi="宋体" w:hint="eastAsia"/>
        <w:sz w:val="28"/>
        <w:szCs w:val="28"/>
      </w:rPr>
    </w:pPr>
    <w:r>
      <w:rPr>
        <w:rFonts w:ascii="宋体" w:eastAsia="宋体" w:hAnsi="宋体"/>
        <w:sz w:val="28"/>
        <w:szCs w:val="28"/>
      </w:rPr>
      <w:fldChar w:fldCharType="begin"/>
    </w:r>
    <w:r>
      <w:rPr>
        <w:rStyle w:val="af1"/>
        <w:rFonts w:ascii="宋体" w:eastAsia="宋体" w:hAnsi="宋体"/>
        <w:sz w:val="28"/>
        <w:szCs w:val="28"/>
      </w:rPr>
      <w:instrText xml:space="preserve">PAGE  </w:instrText>
    </w:r>
    <w:r>
      <w:rPr>
        <w:rFonts w:ascii="宋体" w:eastAsia="宋体" w:hAnsi="宋体"/>
        <w:sz w:val="28"/>
        <w:szCs w:val="28"/>
      </w:rPr>
      <w:fldChar w:fldCharType="separate"/>
    </w:r>
    <w:r>
      <w:rPr>
        <w:rStyle w:val="af1"/>
        <w:rFonts w:ascii="宋体" w:eastAsia="宋体" w:hAnsi="宋体"/>
        <w:sz w:val="28"/>
        <w:szCs w:val="28"/>
      </w:rPr>
      <w:t>- 1 -</w:t>
    </w:r>
    <w:r>
      <w:rPr>
        <w:rFonts w:ascii="宋体" w:eastAsia="宋体" w:hAnsi="宋体"/>
        <w:sz w:val="28"/>
        <w:szCs w:val="28"/>
      </w:rPr>
      <w:fldChar w:fldCharType="end"/>
    </w:r>
  </w:p>
  <w:p w14:paraId="718792A4" w14:textId="77777777" w:rsidR="00AB0EFF" w:rsidRDefault="00AB0EFF">
    <w:pPr>
      <w:pStyle w:val="aa"/>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3A5A5" w14:textId="77777777" w:rsidR="009861CB" w:rsidRDefault="009861CB">
      <w:pPr>
        <w:spacing w:line="240" w:lineRule="auto"/>
        <w:rPr>
          <w:rFonts w:hint="eastAsia"/>
        </w:rPr>
      </w:pPr>
      <w:r>
        <w:separator/>
      </w:r>
    </w:p>
  </w:footnote>
  <w:footnote w:type="continuationSeparator" w:id="0">
    <w:p w14:paraId="4DA6210C" w14:textId="77777777" w:rsidR="009861CB" w:rsidRDefault="009861CB">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F0FF" w14:textId="77777777" w:rsidR="00AB0EFF" w:rsidRDefault="00AB0EFF">
    <w:pPr>
      <w:pStyle w:val="ab"/>
      <w:pBdr>
        <w:bottom w:val="none" w:sz="0" w:space="1"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420"/>
  <w:evenAndOddHeaders/>
  <w:drawingGridHorizontalSpacing w:val="163"/>
  <w:drawingGridVerticalSpacing w:val="295"/>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wNTE3ZmNkNTUyMjdlMTJkZTI2MmM3ODQzZThjMzQifQ=="/>
  </w:docVars>
  <w:rsids>
    <w:rsidRoot w:val="00172A27"/>
    <w:rsid w:val="CEFB2B72"/>
    <w:rsid w:val="CF580B0B"/>
    <w:rsid w:val="CF5F26E1"/>
    <w:rsid w:val="CF8797BD"/>
    <w:rsid w:val="CFFEA83F"/>
    <w:rsid w:val="D3DDFE60"/>
    <w:rsid w:val="D3F38E19"/>
    <w:rsid w:val="D3FDD1AE"/>
    <w:rsid w:val="D5BBD85D"/>
    <w:rsid w:val="D7D80614"/>
    <w:rsid w:val="D7EF7A35"/>
    <w:rsid w:val="D7FF7114"/>
    <w:rsid w:val="DBB72051"/>
    <w:rsid w:val="DCBB3CA0"/>
    <w:rsid w:val="DD6F75EB"/>
    <w:rsid w:val="DD70BF7E"/>
    <w:rsid w:val="DDEED8BB"/>
    <w:rsid w:val="DDEF6575"/>
    <w:rsid w:val="DE1FB700"/>
    <w:rsid w:val="DEEE8B1D"/>
    <w:rsid w:val="DEFD6D8A"/>
    <w:rsid w:val="DF3672A8"/>
    <w:rsid w:val="DFD741B1"/>
    <w:rsid w:val="DFE1EDAB"/>
    <w:rsid w:val="E3DFA39E"/>
    <w:rsid w:val="E5FE1963"/>
    <w:rsid w:val="E73F262A"/>
    <w:rsid w:val="E7BF9001"/>
    <w:rsid w:val="EC7FCDFD"/>
    <w:rsid w:val="ECBD88C5"/>
    <w:rsid w:val="ECF5B255"/>
    <w:rsid w:val="ED9DCD88"/>
    <w:rsid w:val="EDFFF5D5"/>
    <w:rsid w:val="EEDC8A91"/>
    <w:rsid w:val="EF7E324C"/>
    <w:rsid w:val="EFBF2D30"/>
    <w:rsid w:val="EFC8EBE4"/>
    <w:rsid w:val="EFDF6BA0"/>
    <w:rsid w:val="EFDFA939"/>
    <w:rsid w:val="EFE4D30C"/>
    <w:rsid w:val="EFE72890"/>
    <w:rsid w:val="EFEBB628"/>
    <w:rsid w:val="EFF70A49"/>
    <w:rsid w:val="EFF78635"/>
    <w:rsid w:val="F37B09E6"/>
    <w:rsid w:val="F3CF18F9"/>
    <w:rsid w:val="F3FF36F3"/>
    <w:rsid w:val="F5EF80E3"/>
    <w:rsid w:val="F727D3B6"/>
    <w:rsid w:val="F771D40C"/>
    <w:rsid w:val="F77A484F"/>
    <w:rsid w:val="F77F1864"/>
    <w:rsid w:val="F77F8908"/>
    <w:rsid w:val="F7EDDF03"/>
    <w:rsid w:val="F96F5827"/>
    <w:rsid w:val="F97E8D43"/>
    <w:rsid w:val="F9BB469A"/>
    <w:rsid w:val="F9FF28C0"/>
    <w:rsid w:val="FA3FACDF"/>
    <w:rsid w:val="FB562DFC"/>
    <w:rsid w:val="FBAB7B98"/>
    <w:rsid w:val="FBFF873B"/>
    <w:rsid w:val="FCFF1EDB"/>
    <w:rsid w:val="FD0F0B16"/>
    <w:rsid w:val="FDDBE253"/>
    <w:rsid w:val="FDF73A85"/>
    <w:rsid w:val="FE399BCB"/>
    <w:rsid w:val="FE7F2D2F"/>
    <w:rsid w:val="FE9B3AC5"/>
    <w:rsid w:val="FECF3D3A"/>
    <w:rsid w:val="FEF539A5"/>
    <w:rsid w:val="FEF6CB21"/>
    <w:rsid w:val="FEFF17B9"/>
    <w:rsid w:val="FEFFF033"/>
    <w:rsid w:val="FF2FA150"/>
    <w:rsid w:val="FF5B39F2"/>
    <w:rsid w:val="FF5F1430"/>
    <w:rsid w:val="FF876DEF"/>
    <w:rsid w:val="FF9D20B0"/>
    <w:rsid w:val="FFA49D29"/>
    <w:rsid w:val="FFB7FF88"/>
    <w:rsid w:val="FFCF68AF"/>
    <w:rsid w:val="FFDEA433"/>
    <w:rsid w:val="FFEB2D39"/>
    <w:rsid w:val="FFEB3903"/>
    <w:rsid w:val="FFF934B4"/>
    <w:rsid w:val="FFF96115"/>
    <w:rsid w:val="FFFA1978"/>
    <w:rsid w:val="000D5991"/>
    <w:rsid w:val="00103C52"/>
    <w:rsid w:val="00110848"/>
    <w:rsid w:val="001722C4"/>
    <w:rsid w:val="00172A27"/>
    <w:rsid w:val="0018573B"/>
    <w:rsid w:val="001A639B"/>
    <w:rsid w:val="001F36B9"/>
    <w:rsid w:val="00207DF8"/>
    <w:rsid w:val="002B4610"/>
    <w:rsid w:val="002C64FC"/>
    <w:rsid w:val="003018B3"/>
    <w:rsid w:val="00361528"/>
    <w:rsid w:val="0036167D"/>
    <w:rsid w:val="0037226F"/>
    <w:rsid w:val="00380000"/>
    <w:rsid w:val="00384BBA"/>
    <w:rsid w:val="003A59D7"/>
    <w:rsid w:val="003A60CE"/>
    <w:rsid w:val="003D656A"/>
    <w:rsid w:val="003E6A69"/>
    <w:rsid w:val="004104D5"/>
    <w:rsid w:val="004220D6"/>
    <w:rsid w:val="00436447"/>
    <w:rsid w:val="00495608"/>
    <w:rsid w:val="00524B60"/>
    <w:rsid w:val="00530A1F"/>
    <w:rsid w:val="005832A6"/>
    <w:rsid w:val="00587937"/>
    <w:rsid w:val="005B04B2"/>
    <w:rsid w:val="005C6501"/>
    <w:rsid w:val="00601841"/>
    <w:rsid w:val="00660A95"/>
    <w:rsid w:val="00684B56"/>
    <w:rsid w:val="006B0450"/>
    <w:rsid w:val="007400B0"/>
    <w:rsid w:val="00803673"/>
    <w:rsid w:val="00837609"/>
    <w:rsid w:val="0084312E"/>
    <w:rsid w:val="00845524"/>
    <w:rsid w:val="008971C6"/>
    <w:rsid w:val="008A588E"/>
    <w:rsid w:val="008B7401"/>
    <w:rsid w:val="008D374C"/>
    <w:rsid w:val="008E5D43"/>
    <w:rsid w:val="00900BBD"/>
    <w:rsid w:val="00966378"/>
    <w:rsid w:val="009861CB"/>
    <w:rsid w:val="009B7F6B"/>
    <w:rsid w:val="00A42EC2"/>
    <w:rsid w:val="00A94D0E"/>
    <w:rsid w:val="00AB0EFF"/>
    <w:rsid w:val="00AC7D1B"/>
    <w:rsid w:val="00B25E4F"/>
    <w:rsid w:val="00B955C7"/>
    <w:rsid w:val="00BB3876"/>
    <w:rsid w:val="00BB6AFD"/>
    <w:rsid w:val="00C002E1"/>
    <w:rsid w:val="00C01910"/>
    <w:rsid w:val="00C1280F"/>
    <w:rsid w:val="00C72096"/>
    <w:rsid w:val="00C80D34"/>
    <w:rsid w:val="00C93EDB"/>
    <w:rsid w:val="00CA1C36"/>
    <w:rsid w:val="00CA31EF"/>
    <w:rsid w:val="00CA4EC7"/>
    <w:rsid w:val="00D007DA"/>
    <w:rsid w:val="00D4644B"/>
    <w:rsid w:val="00D84014"/>
    <w:rsid w:val="00DB5019"/>
    <w:rsid w:val="00DD1EE5"/>
    <w:rsid w:val="00DF2054"/>
    <w:rsid w:val="00E1693A"/>
    <w:rsid w:val="00E32745"/>
    <w:rsid w:val="00E33EF1"/>
    <w:rsid w:val="00E34078"/>
    <w:rsid w:val="00E649AB"/>
    <w:rsid w:val="00E71005"/>
    <w:rsid w:val="00E942A1"/>
    <w:rsid w:val="00ED2DA9"/>
    <w:rsid w:val="00FA7994"/>
    <w:rsid w:val="00FB3EB0"/>
    <w:rsid w:val="00FD56FC"/>
    <w:rsid w:val="00FE1A4C"/>
    <w:rsid w:val="00FF36CE"/>
    <w:rsid w:val="030D2310"/>
    <w:rsid w:val="04BC6CE6"/>
    <w:rsid w:val="07351941"/>
    <w:rsid w:val="0CBD6B55"/>
    <w:rsid w:val="0FBD95F0"/>
    <w:rsid w:val="10FF30F1"/>
    <w:rsid w:val="111A7FB9"/>
    <w:rsid w:val="12D84B40"/>
    <w:rsid w:val="16C709E1"/>
    <w:rsid w:val="17F391E1"/>
    <w:rsid w:val="19EDBC03"/>
    <w:rsid w:val="1AFFC153"/>
    <w:rsid w:val="1DBF15D9"/>
    <w:rsid w:val="1F046CDA"/>
    <w:rsid w:val="1F6B2440"/>
    <w:rsid w:val="1FF87040"/>
    <w:rsid w:val="1FF99EB8"/>
    <w:rsid w:val="1FFCCA5D"/>
    <w:rsid w:val="1FFD49AC"/>
    <w:rsid w:val="21403CF4"/>
    <w:rsid w:val="26DFECF1"/>
    <w:rsid w:val="295B1363"/>
    <w:rsid w:val="2BA50A88"/>
    <w:rsid w:val="2BFE9867"/>
    <w:rsid w:val="2C2B7286"/>
    <w:rsid w:val="2DD5454E"/>
    <w:rsid w:val="2DFB71DD"/>
    <w:rsid w:val="2E3B098C"/>
    <w:rsid w:val="2EB7906E"/>
    <w:rsid w:val="2F870CC7"/>
    <w:rsid w:val="33F5A0A8"/>
    <w:rsid w:val="34EEF0B5"/>
    <w:rsid w:val="357DD700"/>
    <w:rsid w:val="35F6607F"/>
    <w:rsid w:val="374652A1"/>
    <w:rsid w:val="376D0B6B"/>
    <w:rsid w:val="37F591FF"/>
    <w:rsid w:val="390345BA"/>
    <w:rsid w:val="393DFE79"/>
    <w:rsid w:val="39BABD24"/>
    <w:rsid w:val="3AF1D7DB"/>
    <w:rsid w:val="3B7E1921"/>
    <w:rsid w:val="3BB7423E"/>
    <w:rsid w:val="3BEEAD77"/>
    <w:rsid w:val="3D0009E2"/>
    <w:rsid w:val="3DB6CEDD"/>
    <w:rsid w:val="3E917001"/>
    <w:rsid w:val="3EB5254F"/>
    <w:rsid w:val="3EEB59F7"/>
    <w:rsid w:val="3F7BB9C8"/>
    <w:rsid w:val="3F7DD942"/>
    <w:rsid w:val="3FB7E1E6"/>
    <w:rsid w:val="3FC7F4F6"/>
    <w:rsid w:val="3FF79CF6"/>
    <w:rsid w:val="3FFE034A"/>
    <w:rsid w:val="3FFF8556"/>
    <w:rsid w:val="43D74F06"/>
    <w:rsid w:val="46353013"/>
    <w:rsid w:val="47297FCC"/>
    <w:rsid w:val="479FCDF4"/>
    <w:rsid w:val="47FA2BC8"/>
    <w:rsid w:val="4921579A"/>
    <w:rsid w:val="49EAB52E"/>
    <w:rsid w:val="4BBFA0C5"/>
    <w:rsid w:val="4BFDA805"/>
    <w:rsid w:val="4BFF3C9C"/>
    <w:rsid w:val="4DF23A58"/>
    <w:rsid w:val="4DFFFEAB"/>
    <w:rsid w:val="4EFABC63"/>
    <w:rsid w:val="4FCD0837"/>
    <w:rsid w:val="507F768D"/>
    <w:rsid w:val="51EB38E6"/>
    <w:rsid w:val="52DA429F"/>
    <w:rsid w:val="53FBAD87"/>
    <w:rsid w:val="53FBB077"/>
    <w:rsid w:val="53FD3ED8"/>
    <w:rsid w:val="543FBA4B"/>
    <w:rsid w:val="551D7895"/>
    <w:rsid w:val="57F7E4B9"/>
    <w:rsid w:val="57FA5BF3"/>
    <w:rsid w:val="57FD8DFD"/>
    <w:rsid w:val="57FF4162"/>
    <w:rsid w:val="5ABF973B"/>
    <w:rsid w:val="5AFDF322"/>
    <w:rsid w:val="5B9FEA82"/>
    <w:rsid w:val="5BFB92FE"/>
    <w:rsid w:val="5D1E6DB0"/>
    <w:rsid w:val="5D9F74DD"/>
    <w:rsid w:val="5DFBE49C"/>
    <w:rsid w:val="5ECBF760"/>
    <w:rsid w:val="5EEDBD81"/>
    <w:rsid w:val="5F123868"/>
    <w:rsid w:val="5F3F6042"/>
    <w:rsid w:val="5FBFD423"/>
    <w:rsid w:val="5FCD6440"/>
    <w:rsid w:val="5FF7748D"/>
    <w:rsid w:val="5FF79E35"/>
    <w:rsid w:val="5FFC384B"/>
    <w:rsid w:val="605B4458"/>
    <w:rsid w:val="60B07B95"/>
    <w:rsid w:val="61492CA0"/>
    <w:rsid w:val="62B9483E"/>
    <w:rsid w:val="63F75602"/>
    <w:rsid w:val="65005D8A"/>
    <w:rsid w:val="66FADBDE"/>
    <w:rsid w:val="67BF87F8"/>
    <w:rsid w:val="67CD3CC5"/>
    <w:rsid w:val="67D6E380"/>
    <w:rsid w:val="68FD08D1"/>
    <w:rsid w:val="69EE3EC0"/>
    <w:rsid w:val="69F762AE"/>
    <w:rsid w:val="6B7F1920"/>
    <w:rsid w:val="6BF1B3D8"/>
    <w:rsid w:val="6C855F77"/>
    <w:rsid w:val="6CCEBE13"/>
    <w:rsid w:val="6DEEE940"/>
    <w:rsid w:val="6ECF3B56"/>
    <w:rsid w:val="6EFC1EDB"/>
    <w:rsid w:val="6EFFE82D"/>
    <w:rsid w:val="6F6F0A8A"/>
    <w:rsid w:val="6FBD3579"/>
    <w:rsid w:val="6FD71B9C"/>
    <w:rsid w:val="6FD7B951"/>
    <w:rsid w:val="6FEF19CC"/>
    <w:rsid w:val="6FFBD875"/>
    <w:rsid w:val="6FFF0C14"/>
    <w:rsid w:val="70984D1B"/>
    <w:rsid w:val="71FE415F"/>
    <w:rsid w:val="72B7694E"/>
    <w:rsid w:val="72D7150A"/>
    <w:rsid w:val="72FFF732"/>
    <w:rsid w:val="73DF208C"/>
    <w:rsid w:val="73FDCE9C"/>
    <w:rsid w:val="747E7AA7"/>
    <w:rsid w:val="75BFBA5C"/>
    <w:rsid w:val="75DEA40B"/>
    <w:rsid w:val="760906FD"/>
    <w:rsid w:val="76BED69B"/>
    <w:rsid w:val="76F6D3EA"/>
    <w:rsid w:val="76FE9DCE"/>
    <w:rsid w:val="76FF8D85"/>
    <w:rsid w:val="776950BF"/>
    <w:rsid w:val="77C7BFE4"/>
    <w:rsid w:val="77F7D58D"/>
    <w:rsid w:val="77FF7145"/>
    <w:rsid w:val="77FFF584"/>
    <w:rsid w:val="79F55730"/>
    <w:rsid w:val="7AA6F0A3"/>
    <w:rsid w:val="7B1E06C0"/>
    <w:rsid w:val="7B662627"/>
    <w:rsid w:val="7B7F8390"/>
    <w:rsid w:val="7BC16118"/>
    <w:rsid w:val="7BDA1757"/>
    <w:rsid w:val="7C5F1362"/>
    <w:rsid w:val="7CEF20BB"/>
    <w:rsid w:val="7D37800C"/>
    <w:rsid w:val="7D5EEA73"/>
    <w:rsid w:val="7D6F15CD"/>
    <w:rsid w:val="7D7E0735"/>
    <w:rsid w:val="7DC57839"/>
    <w:rsid w:val="7DF73363"/>
    <w:rsid w:val="7DFBEA80"/>
    <w:rsid w:val="7DFC93EB"/>
    <w:rsid w:val="7DFD8208"/>
    <w:rsid w:val="7DFFBFC4"/>
    <w:rsid w:val="7EDF7160"/>
    <w:rsid w:val="7EF8D381"/>
    <w:rsid w:val="7EFD81C4"/>
    <w:rsid w:val="7F66C3E3"/>
    <w:rsid w:val="7F7DC89D"/>
    <w:rsid w:val="7F8FF336"/>
    <w:rsid w:val="7FA725F4"/>
    <w:rsid w:val="7FBB1259"/>
    <w:rsid w:val="7FC7A307"/>
    <w:rsid w:val="7FDC2B45"/>
    <w:rsid w:val="7FEF78E5"/>
    <w:rsid w:val="7FEF8E31"/>
    <w:rsid w:val="7FEFA597"/>
    <w:rsid w:val="7FF5C1BE"/>
    <w:rsid w:val="7FFDDC6B"/>
    <w:rsid w:val="7FFF0771"/>
    <w:rsid w:val="7FFF376C"/>
    <w:rsid w:val="7FFF41E5"/>
    <w:rsid w:val="7FFF70CF"/>
    <w:rsid w:val="7FFF70D3"/>
    <w:rsid w:val="7FFF8A78"/>
    <w:rsid w:val="7FFFD274"/>
    <w:rsid w:val="8BFF8C30"/>
    <w:rsid w:val="8E6FEA0E"/>
    <w:rsid w:val="925FC261"/>
    <w:rsid w:val="9DD54D26"/>
    <w:rsid w:val="9FBEB094"/>
    <w:rsid w:val="9FC66DD0"/>
    <w:rsid w:val="9FCD88CC"/>
    <w:rsid w:val="9FDAEBFA"/>
    <w:rsid w:val="9FDF1A85"/>
    <w:rsid w:val="A0F77721"/>
    <w:rsid w:val="A2FD1E7D"/>
    <w:rsid w:val="A6BF36D7"/>
    <w:rsid w:val="ABBFCCA6"/>
    <w:rsid w:val="AEBE9AA1"/>
    <w:rsid w:val="AFDD506D"/>
    <w:rsid w:val="B0BD279F"/>
    <w:rsid w:val="B2FFEF8D"/>
    <w:rsid w:val="B51EB9C6"/>
    <w:rsid w:val="B5FF45ED"/>
    <w:rsid w:val="B9FFC6CD"/>
    <w:rsid w:val="BB6DE604"/>
    <w:rsid w:val="BBFFC73C"/>
    <w:rsid w:val="BC6E12F8"/>
    <w:rsid w:val="BDAEEA8C"/>
    <w:rsid w:val="BED6A787"/>
    <w:rsid w:val="BF9A4064"/>
    <w:rsid w:val="BFBFBA7A"/>
    <w:rsid w:val="BFEB89B7"/>
    <w:rsid w:val="CAFF0096"/>
    <w:rsid w:val="CBFFD36B"/>
    <w:rsid w:val="CD57E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D48B0"/>
  <w15:docId w15:val="{E2CCC7DB-C743-4D6E-A090-445ED34E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uiPriority="10"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仿宋_GB2312" w:eastAsia="仿宋_GB2312" w:hAnsi="Times"/>
      <w:kern w:val="2"/>
      <w:sz w:val="32"/>
      <w:szCs w:val="32"/>
    </w:rPr>
  </w:style>
  <w:style w:type="paragraph" w:styleId="1">
    <w:name w:val="heading 1"/>
    <w:basedOn w:val="a"/>
    <w:next w:val="a"/>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eastAsia="宋体"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hAnsi="仿宋_GB2312" w:cs="仿宋_GB2312"/>
      <w:lang w:val="zh-CN" w:bidi="zh-CN"/>
    </w:rPr>
  </w:style>
  <w:style w:type="paragraph" w:styleId="a4">
    <w:name w:val="Body Text Indent"/>
    <w:basedOn w:val="a"/>
    <w:next w:val="21"/>
    <w:link w:val="a5"/>
    <w:qFormat/>
    <w:pPr>
      <w:ind w:firstLine="720"/>
    </w:pPr>
    <w:rPr>
      <w:rFonts w:ascii="黑体" w:eastAsia="黑体" w:hAnsi="Times New Roman"/>
      <w:szCs w:val="20"/>
    </w:rPr>
  </w:style>
  <w:style w:type="paragraph" w:styleId="21">
    <w:name w:val="Body Text First Indent 2"/>
    <w:basedOn w:val="a4"/>
    <w:next w:val="a"/>
    <w:uiPriority w:val="99"/>
    <w:unhideWhenUsed/>
    <w:qFormat/>
    <w:pPr>
      <w:ind w:firstLineChars="200" w:firstLine="420"/>
    </w:pPr>
  </w:style>
  <w:style w:type="paragraph" w:styleId="a6">
    <w:name w:val="Date"/>
    <w:basedOn w:val="a"/>
    <w:next w:val="a"/>
    <w:link w:val="a7"/>
    <w:qFormat/>
    <w:pPr>
      <w:ind w:leftChars="2500" w:left="100"/>
    </w:p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qFormat/>
    <w:pPr>
      <w:snapToGrid w:val="0"/>
      <w:jc w:val="left"/>
    </w:pPr>
    <w:rPr>
      <w:rFonts w:ascii="Times New Roman" w:eastAsia="宋体" w:hAnsi="Times New Roman"/>
      <w:sz w:val="18"/>
      <w:szCs w:val="18"/>
    </w:rPr>
  </w:style>
  <w:style w:type="paragraph" w:styleId="TOC2">
    <w:name w:val="toc 2"/>
    <w:basedOn w:val="a"/>
    <w:next w:val="a"/>
    <w:qFormat/>
    <w:rPr>
      <w:rFonts w:ascii="Times New Roman" w:hAnsi="Times New Roman"/>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e">
    <w:name w:val="Title"/>
    <w:basedOn w:val="a"/>
    <w:next w:val="a"/>
    <w:uiPriority w:val="10"/>
    <w:qFormat/>
    <w:pPr>
      <w:spacing w:before="240" w:after="60"/>
      <w:jc w:val="center"/>
      <w:outlineLvl w:val="0"/>
    </w:pPr>
    <w:rPr>
      <w:rFonts w:ascii="Cambria" w:hAnsi="Cambria"/>
      <w:b/>
      <w:bCs/>
    </w:rPr>
  </w:style>
  <w:style w:type="paragraph" w:styleId="af">
    <w:name w:val="Body Text First Indent"/>
    <w:basedOn w:val="a0"/>
    <w:qFormat/>
    <w:pPr>
      <w:ind w:firstLineChars="100" w:firstLine="420"/>
    </w:pPr>
    <w:rPr>
      <w:rFonts w:cs="Times New Roman"/>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otnote reference"/>
    <w:basedOn w:val="a1"/>
    <w:qFormat/>
    <w:rPr>
      <w:vertAlign w:val="superscript"/>
    </w:rPr>
  </w:style>
  <w:style w:type="paragraph" w:customStyle="1" w:styleId="UserStyle0">
    <w:name w:val="UserStyle_0"/>
    <w:basedOn w:val="a"/>
    <w:next w:val="a"/>
    <w:uiPriority w:val="99"/>
    <w:qFormat/>
    <w:pPr>
      <w:ind w:firstLineChars="200" w:firstLine="420"/>
    </w:pPr>
    <w:rPr>
      <w:rFonts w:ascii="Times New Roman" w:hAnsi="Times New Roman"/>
    </w:rPr>
  </w:style>
  <w:style w:type="character" w:customStyle="1" w:styleId="NormalCharacter">
    <w:name w:val="NormalCharacter"/>
    <w:qFormat/>
    <w:rPr>
      <w:rFonts w:ascii="仿宋_GB2312" w:eastAsia="仿宋_GB2312" w:hAnsi="Times" w:cs="Times New Roman"/>
      <w:kern w:val="2"/>
      <w:sz w:val="32"/>
      <w:szCs w:val="32"/>
      <w:lang w:val="en-US" w:eastAsia="zh-CN" w:bidi="ar-SA"/>
    </w:rPr>
  </w:style>
  <w:style w:type="character" w:customStyle="1" w:styleId="UserStyle4">
    <w:name w:val="UserStyle_4"/>
    <w:basedOn w:val="NormalCharacter"/>
    <w:qFormat/>
    <w:rPr>
      <w:rFonts w:ascii="仿宋_GB2312" w:eastAsia="仿宋_GB2312" w:hAnsi="Times" w:cs="Times New Roman"/>
      <w:kern w:val="2"/>
      <w:sz w:val="32"/>
      <w:szCs w:val="32"/>
      <w:lang w:val="en-US" w:eastAsia="zh-CN" w:bidi="ar-SA"/>
    </w:rPr>
  </w:style>
  <w:style w:type="character" w:customStyle="1" w:styleId="a7">
    <w:name w:val="日期 字符"/>
    <w:link w:val="a6"/>
    <w:qFormat/>
    <w:rPr>
      <w:rFonts w:ascii="仿宋_GB2312" w:eastAsia="仿宋_GB2312" w:hAnsi="Times"/>
      <w:kern w:val="2"/>
      <w:sz w:val="32"/>
      <w:szCs w:val="32"/>
    </w:rPr>
  </w:style>
  <w:style w:type="character" w:customStyle="1" w:styleId="20">
    <w:name w:val="标题 2 字符"/>
    <w:link w:val="2"/>
    <w:uiPriority w:val="9"/>
    <w:qFormat/>
    <w:rPr>
      <w:rFonts w:ascii="Cambria" w:hAnsi="Cambria"/>
      <w:b/>
      <w:bCs/>
      <w:kern w:val="2"/>
      <w:sz w:val="32"/>
      <w:szCs w:val="32"/>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a5">
    <w:name w:val="正文文本缩进 字符"/>
    <w:link w:val="a4"/>
    <w:qFormat/>
    <w:rPr>
      <w:rFonts w:ascii="黑体" w:eastAsia="黑体"/>
      <w:kern w:val="2"/>
      <w:sz w:val="32"/>
    </w:rPr>
  </w:style>
  <w:style w:type="character" w:customStyle="1" w:styleId="ad">
    <w:name w:val="脚注文本 字符"/>
    <w:link w:val="ac"/>
    <w:qFormat/>
    <w:rPr>
      <w:kern w:val="2"/>
      <w:sz w:val="18"/>
      <w:szCs w:val="18"/>
    </w:rPr>
  </w:style>
  <w:style w:type="paragraph" w:customStyle="1" w:styleId="10">
    <w:name w:val="无间隔1"/>
    <w:uiPriority w:val="1"/>
    <w:qFormat/>
    <w:pPr>
      <w:widowControl w:val="0"/>
      <w:jc w:val="both"/>
    </w:pPr>
    <w:rPr>
      <w:rFonts w:ascii="Calibri" w:hAnsi="Calibri"/>
      <w:kern w:val="2"/>
      <w:sz w:val="21"/>
      <w:szCs w:val="22"/>
    </w:rPr>
  </w:style>
  <w:style w:type="paragraph" w:customStyle="1" w:styleId="11">
    <w:name w:val="列表段落1"/>
    <w:basedOn w:val="a"/>
    <w:uiPriority w:val="99"/>
    <w:qFormat/>
    <w:pPr>
      <w:ind w:firstLineChars="200" w:firstLine="420"/>
    </w:pPr>
  </w:style>
  <w:style w:type="paragraph" w:customStyle="1" w:styleId="NewNewNew">
    <w:name w:val="正文 New New New"/>
    <w:qFormat/>
    <w:pPr>
      <w:widowControl w:val="0"/>
      <w:jc w:val="both"/>
    </w:pPr>
    <w:rPr>
      <w:rFonts w:ascii="Calibri" w:hAnsi="Calibri"/>
      <w:kern w:val="2"/>
      <w:sz w:val="21"/>
    </w:rPr>
  </w:style>
  <w:style w:type="paragraph" w:customStyle="1" w:styleId="BodyText">
    <w:name w:val="BodyText"/>
    <w:basedOn w:val="a"/>
    <w:next w:val="ae"/>
    <w:qFormat/>
    <w:pPr>
      <w:ind w:left="232"/>
      <w:textAlignment w:val="baseline"/>
    </w:pPr>
    <w:rPr>
      <w:rFonts w:ascii="仿宋" w:eastAsia="仿宋" w:hAnsi="仿宋"/>
      <w:lang w:val="zh-CN" w:bidi="zh-CN"/>
    </w:rPr>
  </w:style>
  <w:style w:type="paragraph" w:customStyle="1" w:styleId="22">
    <w:name w:val="样式 正文缩进四号 + 首行缩进:  2 字符"/>
    <w:basedOn w:val="a"/>
    <w:qFormat/>
    <w:pPr>
      <w:spacing w:line="360" w:lineRule="auto"/>
      <w:ind w:firstLineChars="200" w:firstLine="560"/>
      <w:jc w:val="left"/>
    </w:pPr>
    <w:rPr>
      <w:rFonts w:ascii="Times New Roman" w:eastAsia="宋体" w:hAnsi="Times New Roman" w:cs="宋体"/>
      <w:kern w:val="0"/>
      <w:sz w:val="24"/>
      <w:szCs w:val="24"/>
    </w:rPr>
  </w:style>
  <w:style w:type="paragraph" w:customStyle="1" w:styleId="af3">
    <w:name w:val="附件"/>
    <w:basedOn w:val="a"/>
    <w:qFormat/>
    <w:pPr>
      <w:ind w:left="1638" w:hanging="1016"/>
    </w:pPr>
    <w:rPr>
      <w:rFonts w:ascii="Times New Roman" w:hAnsi="Times New Roman"/>
      <w:szCs w:val="20"/>
    </w:rPr>
  </w:style>
  <w:style w:type="paragraph" w:customStyle="1" w:styleId="110">
    <w:name w:val="列出段落11"/>
    <w:basedOn w:val="a"/>
    <w:qFormat/>
    <w:pPr>
      <w:ind w:firstLineChars="200" w:firstLine="420"/>
    </w:pPr>
  </w:style>
  <w:style w:type="paragraph" w:customStyle="1" w:styleId="12">
    <w:name w:val="新公文1"/>
    <w:basedOn w:val="a"/>
    <w:qFormat/>
    <w:pPr>
      <w:spacing w:line="560" w:lineRule="exact"/>
      <w:ind w:firstLineChars="200" w:firstLine="200"/>
      <w:outlineLvl w:val="1"/>
    </w:pPr>
    <w:rPr>
      <w:rFonts w:ascii="黑体" w:eastAsia="黑体" w:hAnsi="黑体"/>
      <w:szCs w:val="30"/>
    </w:rPr>
  </w:style>
  <w:style w:type="paragraph" w:customStyle="1" w:styleId="13">
    <w:name w:val="修订1"/>
    <w:hidden/>
    <w:uiPriority w:val="99"/>
    <w:unhideWhenUsed/>
    <w:qFormat/>
    <w:rPr>
      <w:rFonts w:ascii="仿宋_GB2312" w:eastAsia="仿宋_GB2312" w:hAnsi="Times"/>
      <w:kern w:val="2"/>
      <w:sz w:val="32"/>
      <w:szCs w:val="32"/>
    </w:rPr>
  </w:style>
  <w:style w:type="character" w:customStyle="1" w:styleId="a9">
    <w:name w:val="批注框文本 字符"/>
    <w:basedOn w:val="a1"/>
    <w:link w:val="a8"/>
    <w:qFormat/>
    <w:rPr>
      <w:rFonts w:ascii="仿宋_GB2312" w:eastAsia="仿宋_GB2312" w:hAnsi="Times"/>
      <w:kern w:val="2"/>
      <w:sz w:val="18"/>
      <w:szCs w:val="18"/>
    </w:rPr>
  </w:style>
  <w:style w:type="paragraph" w:customStyle="1" w:styleId="14">
    <w:name w:val="列出段落1"/>
    <w:basedOn w:val="a"/>
    <w:uiPriority w:val="99"/>
    <w:qFormat/>
    <w:pPr>
      <w:ind w:firstLineChars="200" w:firstLine="420"/>
    </w:p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21">
    <w:name w:val="font21"/>
    <w:basedOn w:val="a1"/>
    <w:qFormat/>
    <w:rPr>
      <w:rFonts w:ascii="仿宋_GB2312" w:eastAsia="仿宋_GB2312" w:cs="仿宋_GB2312" w:hint="eastAsia"/>
      <w:color w:val="000000"/>
      <w:sz w:val="24"/>
      <w:szCs w:val="24"/>
      <w:u w:val="none"/>
    </w:rPr>
  </w:style>
  <w:style w:type="character" w:customStyle="1" w:styleId="font01">
    <w:name w:val="font01"/>
    <w:basedOn w:val="a1"/>
    <w:qFormat/>
    <w:rPr>
      <w:rFonts w:ascii="仿宋_GB2312" w:eastAsia="仿宋_GB2312" w:cs="仿宋_GB2312" w:hint="eastAsia"/>
      <w:b/>
      <w:bCs/>
      <w:color w:val="000000"/>
      <w:sz w:val="24"/>
      <w:szCs w:val="24"/>
      <w:u w:val="none"/>
    </w:rPr>
  </w:style>
  <w:style w:type="paragraph" w:customStyle="1" w:styleId="111">
    <w:name w:val="111"/>
    <w:basedOn w:val="af4"/>
    <w:next w:val="af4"/>
    <w:qFormat/>
    <w:pPr>
      <w:ind w:firstLine="643"/>
    </w:pPr>
    <w:rPr>
      <w:bCs/>
    </w:rPr>
  </w:style>
  <w:style w:type="paragraph" w:customStyle="1" w:styleId="af4">
    <w:name w:val="公文"/>
    <w:basedOn w:val="a"/>
    <w:next w:val="111"/>
    <w:qFormat/>
    <w:pPr>
      <w:spacing w:after="0" w:line="560" w:lineRule="exact"/>
      <w:ind w:firstLineChars="200" w:firstLine="200"/>
    </w:pPr>
    <w:rPr>
      <w:rFonts w:ascii="Times New Roman" w:hAnsi="Times New Roman"/>
    </w:rPr>
  </w:style>
  <w:style w:type="paragraph" w:styleId="af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620</Words>
  <Characters>3540</Characters>
  <Application>Microsoft Office Word</Application>
  <DocSecurity>0</DocSecurity>
  <Lines>29</Lines>
  <Paragraphs>8</Paragraphs>
  <ScaleCrop>false</ScaleCrop>
  <Company>MC SYSTEM</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深发改〔2010〕　号　　　　　　　　　 　签发人：</dc:title>
  <dc:creator>MC SYSTEM</dc:creator>
  <cp:lastModifiedBy>664200523@qq.com</cp:lastModifiedBy>
  <cp:revision>20</cp:revision>
  <cp:lastPrinted>2024-10-12T16:30:00Z</cp:lastPrinted>
  <dcterms:created xsi:type="dcterms:W3CDTF">2023-11-10T22:21:00Z</dcterms:created>
  <dcterms:modified xsi:type="dcterms:W3CDTF">2024-10-18T06:34:00Z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A2BF37D7912144E98756D35A357BE090</vt:lpwstr>
  </property>
</Properties>
</file>