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（二）不存在《深圳市财政局政府采购供应商信用信息管理办法》（深财规〔2023〕3 号）列明的严重违法失信行为。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D857"/>
    <w:multiLevelType w:val="singleLevel"/>
    <w:tmpl w:val="86E4D8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jZlNjRlMWU5MmE5NWQ5MjRhZjRlNGQ3MmI3MTgifQ=="/>
  </w:docVars>
  <w:rsids>
    <w:rsidRoot w:val="00000000"/>
    <w:rsid w:val="004602B0"/>
    <w:rsid w:val="1AC85DE1"/>
    <w:rsid w:val="1B3C0B6C"/>
    <w:rsid w:val="377F5132"/>
    <w:rsid w:val="68F0030D"/>
    <w:rsid w:val="6AA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321</Characters>
  <Lines>0</Lines>
  <Paragraphs>0</Paragraphs>
  <TotalTime>1</TotalTime>
  <ScaleCrop>false</ScaleCrop>
  <LinksUpToDate>false</LinksUpToDate>
  <CharactersWithSpaces>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2022-08-30T03:21:00Z</dcterms:created>
  <dc:creator>zjh32</dc:creator>
  <cp:lastModifiedBy>瑋</cp:lastModifiedBy>
  <dcterms:modified xsi:type="dcterms:W3CDTF">2024-05-15T07:17:54Z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27AF06B7B0DB41B5809C08770775580F</vt:lpwstr>
  </property>
</Properties>
</file>