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_GBK" w:hAnsi="方正小标宋_GBK" w:eastAsia="方正小标宋_GBK" w:cs="方正小标宋_GBK"/>
          <w:color w:val="auto"/>
          <w:sz w:val="48"/>
          <w:szCs w:val="48"/>
          <w:highlight w:val="none"/>
          <w:lang w:eastAsia="zh-CN"/>
        </w:rPr>
      </w:pPr>
      <w:r>
        <w:rPr>
          <w:rFonts w:hint="eastAsia" w:ascii="方正小标宋_GBK" w:hAnsi="方正小标宋_GBK" w:eastAsia="方正小标宋_GBK" w:cs="方正小标宋_GBK"/>
          <w:color w:val="auto"/>
          <w:sz w:val="48"/>
          <w:szCs w:val="48"/>
          <w:highlight w:val="none"/>
        </w:rPr>
        <w:t>市委金融办安全运营服务</w:t>
      </w:r>
      <w:r>
        <w:rPr>
          <w:rFonts w:hint="eastAsia" w:ascii="方正小标宋_GBK" w:hAnsi="方正小标宋_GBK" w:eastAsia="方正小标宋_GBK" w:cs="方正小标宋_GBK"/>
          <w:color w:val="auto"/>
          <w:sz w:val="48"/>
          <w:szCs w:val="48"/>
          <w:highlight w:val="none"/>
          <w:lang w:eastAsia="zh-CN"/>
        </w:rPr>
        <w:t>（</w:t>
      </w:r>
      <w:r>
        <w:rPr>
          <w:rFonts w:hint="eastAsia" w:ascii="方正小标宋_GBK" w:hAnsi="方正小标宋_GBK" w:eastAsia="方正小标宋_GBK" w:cs="方正小标宋_GBK"/>
          <w:color w:val="auto"/>
          <w:sz w:val="48"/>
          <w:szCs w:val="48"/>
          <w:highlight w:val="none"/>
        </w:rPr>
        <w:t>2025年</w:t>
      </w:r>
      <w:r>
        <w:rPr>
          <w:rFonts w:hint="eastAsia" w:ascii="方正小标宋_GBK" w:hAnsi="方正小标宋_GBK" w:eastAsia="方正小标宋_GBK" w:cs="方正小标宋_GBK"/>
          <w:color w:val="auto"/>
          <w:sz w:val="48"/>
          <w:szCs w:val="48"/>
          <w:highlight w:val="none"/>
          <w:lang w:eastAsia="zh-CN"/>
        </w:rPr>
        <w:t>）</w:t>
      </w:r>
    </w:p>
    <w:p>
      <w:pPr>
        <w:spacing w:line="560" w:lineRule="exact"/>
        <w:ind w:firstLine="0" w:firstLineChars="0"/>
        <w:jc w:val="center"/>
        <w:rPr>
          <w:rFonts w:hint="eastAsia" w:ascii="方正小标宋_GBK" w:hAnsi="方正小标宋_GBK" w:eastAsia="方正小标宋_GBK" w:cs="方正小标宋_GBK"/>
          <w:b w:val="0"/>
          <w:bCs w:val="0"/>
          <w:color w:val="auto"/>
          <w:sz w:val="48"/>
          <w:szCs w:val="48"/>
          <w:highlight w:val="none"/>
        </w:rPr>
      </w:pPr>
      <w:r>
        <w:rPr>
          <w:rFonts w:hint="eastAsia" w:ascii="方正小标宋_GBK" w:hAnsi="方正小标宋_GBK" w:eastAsia="方正小标宋_GBK" w:cs="方正小标宋_GBK"/>
          <w:color w:val="auto"/>
          <w:sz w:val="48"/>
          <w:szCs w:val="48"/>
          <w:highlight w:val="none"/>
        </w:rPr>
        <w:t>项目</w:t>
      </w:r>
      <w:r>
        <w:rPr>
          <w:rFonts w:hint="eastAsia" w:ascii="方正小标宋_GBK" w:hAnsi="方正小标宋_GBK" w:eastAsia="方正小标宋_GBK" w:cs="方正小标宋_GBK"/>
          <w:b w:val="0"/>
          <w:bCs w:val="0"/>
          <w:color w:val="auto"/>
          <w:sz w:val="48"/>
          <w:szCs w:val="48"/>
          <w:highlight w:val="none"/>
        </w:rPr>
        <w:t>采购文件</w:t>
      </w:r>
    </w:p>
    <w:p>
      <w:pPr>
        <w:spacing w:after="312" w:line="560" w:lineRule="exact"/>
        <w:ind w:firstLine="0" w:firstLineChars="0"/>
        <w:jc w:val="center"/>
        <w:rPr>
          <w:rFonts w:ascii="仿宋_GB2312" w:hAnsi="仿宋_GB2312" w:eastAsia="仿宋_GB2312" w:cs="仿宋_GB2312"/>
          <w:b/>
          <w:bCs/>
          <w:color w:val="auto"/>
          <w:sz w:val="36"/>
          <w:szCs w:val="28"/>
          <w:highlight w:val="none"/>
        </w:rPr>
      </w:pPr>
    </w:p>
    <w:p>
      <w:pPr>
        <w:spacing w:after="312" w:line="560" w:lineRule="exact"/>
        <w:ind w:firstLine="0" w:firstLineChars="0"/>
        <w:jc w:val="left"/>
        <w:rPr>
          <w:rFonts w:ascii="仿宋_GB2312" w:hAnsi="仿宋_GB2312" w:eastAsia="仿宋_GB2312" w:cs="仿宋_GB2312"/>
          <w:b/>
          <w:bCs/>
          <w:color w:val="auto"/>
          <w:sz w:val="28"/>
          <w:szCs w:val="22"/>
          <w:highlight w:val="none"/>
        </w:rPr>
      </w:pPr>
    </w:p>
    <w:p>
      <w:pPr>
        <w:spacing w:after="312" w:line="560" w:lineRule="exact"/>
        <w:ind w:firstLine="0" w:firstLineChars="0"/>
        <w:jc w:val="left"/>
        <w:rPr>
          <w:rFonts w:ascii="仿宋_GB2312" w:hAnsi="仿宋_GB2312" w:eastAsia="仿宋_GB2312" w:cs="仿宋_GB2312"/>
          <w:b/>
          <w:bCs/>
          <w:color w:val="auto"/>
          <w:sz w:val="28"/>
          <w:szCs w:val="22"/>
          <w:highlight w:val="none"/>
        </w:rPr>
      </w:pPr>
    </w:p>
    <w:p>
      <w:pPr>
        <w:spacing w:after="312" w:line="560" w:lineRule="exact"/>
        <w:ind w:firstLine="0" w:firstLineChars="0"/>
        <w:jc w:val="left"/>
        <w:rPr>
          <w:rFonts w:ascii="仿宋_GB2312" w:hAnsi="仿宋_GB2312" w:eastAsia="仿宋_GB2312" w:cs="仿宋_GB2312"/>
          <w:b/>
          <w:bCs/>
          <w:color w:val="auto"/>
          <w:sz w:val="28"/>
          <w:szCs w:val="22"/>
          <w:highlight w:val="none"/>
        </w:rPr>
      </w:pPr>
    </w:p>
    <w:p>
      <w:pPr>
        <w:spacing w:after="312" w:line="560" w:lineRule="exact"/>
        <w:ind w:firstLine="0" w:firstLineChars="0"/>
        <w:jc w:val="left"/>
        <w:rPr>
          <w:rFonts w:ascii="仿宋_GB2312" w:hAnsi="仿宋_GB2312" w:eastAsia="仿宋_GB2312" w:cs="仿宋_GB2312"/>
          <w:b/>
          <w:bCs/>
          <w:color w:val="auto"/>
          <w:sz w:val="28"/>
          <w:szCs w:val="22"/>
          <w:highlight w:val="none"/>
        </w:rPr>
      </w:pPr>
    </w:p>
    <w:p>
      <w:pPr>
        <w:spacing w:line="560" w:lineRule="exact"/>
        <w:ind w:firstLine="0" w:firstLineChars="0"/>
        <w:jc w:val="left"/>
        <w:rPr>
          <w:rFonts w:hint="eastAsia" w:ascii="仿宋_GB2312" w:hAnsi="仿宋_GB2312" w:eastAsia="仿宋_GB2312" w:cs="仿宋_GB2312"/>
          <w:b/>
          <w:bCs/>
          <w:color w:val="auto"/>
          <w:sz w:val="32"/>
          <w:szCs w:val="24"/>
          <w:highlight w:val="none"/>
        </w:rPr>
      </w:pPr>
    </w:p>
    <w:p>
      <w:pPr>
        <w:spacing w:line="560" w:lineRule="exact"/>
        <w:ind w:firstLine="0" w:firstLineChars="0"/>
        <w:jc w:val="left"/>
        <w:rPr>
          <w:rFonts w:hint="eastAsia" w:ascii="仿宋_GB2312" w:hAnsi="仿宋_GB2312" w:eastAsia="仿宋_GB2312" w:cs="仿宋_GB2312"/>
          <w:b/>
          <w:bCs/>
          <w:color w:val="auto"/>
          <w:sz w:val="32"/>
          <w:szCs w:val="24"/>
          <w:highlight w:val="none"/>
        </w:rPr>
      </w:pPr>
    </w:p>
    <w:p>
      <w:pPr>
        <w:spacing w:line="560" w:lineRule="exact"/>
        <w:ind w:firstLine="0" w:firstLineChars="0"/>
        <w:jc w:val="left"/>
        <w:rPr>
          <w:rFonts w:hint="eastAsia" w:ascii="仿宋_GB2312" w:hAnsi="仿宋_GB2312" w:eastAsia="仿宋_GB2312" w:cs="仿宋_GB2312"/>
          <w:b/>
          <w:bCs/>
          <w:color w:val="auto"/>
          <w:sz w:val="32"/>
          <w:szCs w:val="24"/>
          <w:highlight w:val="none"/>
        </w:rPr>
      </w:pPr>
    </w:p>
    <w:p>
      <w:pPr>
        <w:spacing w:line="560" w:lineRule="exact"/>
        <w:ind w:firstLine="0" w:firstLineChars="0"/>
        <w:jc w:val="left"/>
        <w:rPr>
          <w:rFonts w:hint="eastAsia" w:ascii="方正小标宋简体" w:hAnsi="方正小标宋简体" w:eastAsia="方正小标宋简体" w:cs="方正小标宋简体"/>
          <w:b w:val="0"/>
          <w:bCs w:val="0"/>
          <w:color w:val="auto"/>
          <w:sz w:val="32"/>
          <w:szCs w:val="24"/>
          <w:highlight w:val="none"/>
        </w:rPr>
      </w:pPr>
    </w:p>
    <w:p>
      <w:pPr>
        <w:spacing w:line="560" w:lineRule="exact"/>
        <w:ind w:firstLine="320" w:firstLineChars="100"/>
        <w:jc w:val="center"/>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rPr>
        <w:t>项目名称：</w:t>
      </w:r>
      <w:r>
        <w:rPr>
          <w:rFonts w:hint="eastAsia" w:ascii="楷体_GB2312" w:hAnsi="楷体_GB2312" w:eastAsia="楷体_GB2312" w:cs="楷体_GB2312"/>
          <w:b w:val="0"/>
          <w:bCs w:val="0"/>
          <w:color w:val="auto"/>
          <w:sz w:val="32"/>
          <w:szCs w:val="24"/>
          <w:highlight w:val="none"/>
          <w:lang w:val="en-US" w:eastAsia="zh-CN"/>
        </w:rPr>
        <w:t>市委金融办安全运营</w:t>
      </w:r>
      <w:r>
        <w:rPr>
          <w:rFonts w:hint="eastAsia" w:ascii="楷体_GB2312" w:hAnsi="楷体_GB2312" w:eastAsia="楷体_GB2312" w:cs="楷体_GB2312"/>
          <w:b w:val="0"/>
          <w:bCs w:val="0"/>
          <w:color w:val="auto"/>
          <w:sz w:val="32"/>
          <w:szCs w:val="24"/>
          <w:highlight w:val="none"/>
        </w:rPr>
        <w:t>服务</w:t>
      </w:r>
      <w:r>
        <w:rPr>
          <w:rFonts w:hint="eastAsia" w:ascii="楷体_GB2312" w:hAnsi="楷体_GB2312" w:eastAsia="楷体_GB2312" w:cs="楷体_GB2312"/>
          <w:b w:val="0"/>
          <w:bCs w:val="0"/>
          <w:color w:val="auto"/>
          <w:sz w:val="32"/>
          <w:szCs w:val="24"/>
          <w:highlight w:val="none"/>
          <w:lang w:eastAsia="zh-CN"/>
        </w:rPr>
        <w:t>（</w:t>
      </w:r>
      <w:r>
        <w:rPr>
          <w:rFonts w:hint="eastAsia" w:ascii="楷体_GB2312" w:hAnsi="楷体_GB2312" w:eastAsia="楷体_GB2312" w:cs="楷体_GB2312"/>
          <w:b w:val="0"/>
          <w:bCs w:val="0"/>
          <w:color w:val="auto"/>
          <w:sz w:val="32"/>
          <w:szCs w:val="24"/>
          <w:highlight w:val="none"/>
          <w:lang w:val="en-US" w:eastAsia="zh-CN"/>
        </w:rPr>
        <w:t>2025年</w:t>
      </w:r>
      <w:r>
        <w:rPr>
          <w:rFonts w:hint="eastAsia" w:ascii="楷体_GB2312" w:hAnsi="楷体_GB2312" w:eastAsia="楷体_GB2312" w:cs="楷体_GB2312"/>
          <w:b w:val="0"/>
          <w:bCs w:val="0"/>
          <w:color w:val="auto"/>
          <w:sz w:val="32"/>
          <w:szCs w:val="24"/>
          <w:highlight w:val="none"/>
          <w:lang w:eastAsia="zh-CN"/>
        </w:rPr>
        <w:t>）</w:t>
      </w:r>
    </w:p>
    <w:p>
      <w:pPr>
        <w:spacing w:line="560" w:lineRule="exact"/>
        <w:ind w:firstLine="320" w:firstLineChars="100"/>
        <w:jc w:val="center"/>
        <w:rPr>
          <w:rFonts w:hint="eastAsia" w:ascii="楷体_GB2312" w:hAnsi="楷体_GB2312" w:eastAsia="楷体_GB2312" w:cs="楷体_GB2312"/>
          <w:b w:val="0"/>
          <w:bCs w:val="0"/>
          <w:color w:val="auto"/>
          <w:sz w:val="32"/>
          <w:szCs w:val="24"/>
          <w:highlight w:val="none"/>
        </w:rPr>
      </w:pPr>
      <w:r>
        <w:rPr>
          <w:rFonts w:hint="eastAsia" w:ascii="楷体_GB2312" w:hAnsi="楷体_GB2312" w:eastAsia="楷体_GB2312" w:cs="楷体_GB2312"/>
          <w:b w:val="0"/>
          <w:bCs w:val="0"/>
          <w:color w:val="auto"/>
          <w:sz w:val="32"/>
          <w:szCs w:val="24"/>
          <w:highlight w:val="none"/>
        </w:rPr>
        <w:t>采购人名称：中共深圳市委金融委员会办公室</w:t>
      </w: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spacing w:line="560" w:lineRule="exact"/>
        <w:jc w:val="center"/>
        <w:rPr>
          <w:rFonts w:hint="eastAsia" w:ascii="方正小标宋简体" w:hAnsi="方正小标宋简体" w:eastAsia="方正小标宋简体" w:cs="方正小标宋简体"/>
          <w:color w:val="auto"/>
          <w:sz w:val="44"/>
          <w:szCs w:val="44"/>
          <w:highlight w:val="none"/>
        </w:rPr>
      </w:pPr>
    </w:p>
    <w:p>
      <w:pPr>
        <w:widowControl/>
        <w:spacing w:line="560" w:lineRule="exact"/>
        <w:jc w:val="left"/>
        <w:rPr>
          <w:rStyle w:val="17"/>
          <w:rFonts w:hint="eastAsia" w:ascii="仿宋_GB2312" w:hAnsi="仿宋_GB2312" w:eastAsia="仿宋_GB2312" w:cs="仿宋_GB2312"/>
          <w:b w:val="0"/>
          <w:color w:val="auto"/>
          <w:kern w:val="0"/>
          <w:sz w:val="32"/>
          <w:szCs w:val="32"/>
          <w:highlight w:val="none"/>
          <w:shd w:val="clear" w:color="auto" w:fill="FFFFFF"/>
          <w:lang w:bidi="ar"/>
        </w:rPr>
      </w:pPr>
    </w:p>
    <w:p>
      <w:pPr>
        <w:widowControl/>
        <w:spacing w:line="560" w:lineRule="exact"/>
        <w:ind w:firstLine="640" w:firstLineChars="200"/>
        <w:jc w:val="left"/>
        <w:rPr>
          <w:rFonts w:hint="eastAsia" w:ascii="黑体" w:hAnsi="黑体" w:eastAsia="黑体" w:cs="黑体"/>
          <w:color w:val="auto"/>
          <w:kern w:val="0"/>
          <w:sz w:val="32"/>
          <w:szCs w:val="32"/>
          <w:highlight w:val="none"/>
          <w:lang w:bidi="ar"/>
        </w:rPr>
      </w:pPr>
      <w:r>
        <w:rPr>
          <w:rStyle w:val="17"/>
          <w:rFonts w:hint="eastAsia" w:ascii="黑体" w:hAnsi="黑体" w:eastAsia="黑体" w:cs="黑体"/>
          <w:b w:val="0"/>
          <w:color w:val="auto"/>
          <w:kern w:val="0"/>
          <w:sz w:val="32"/>
          <w:szCs w:val="32"/>
          <w:highlight w:val="none"/>
          <w:shd w:val="clear" w:color="auto" w:fill="FFFFFF"/>
          <w:lang w:bidi="ar"/>
        </w:rPr>
        <w:t>一、采购项目名称</w:t>
      </w:r>
    </w:p>
    <w:p>
      <w:pPr>
        <w:widowControl/>
        <w:spacing w:line="560" w:lineRule="exact"/>
        <w:ind w:firstLine="640" w:firstLineChars="200"/>
        <w:jc w:val="left"/>
        <w:rPr>
          <w:rFonts w:hint="eastAsia"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（一）项目名称</w:t>
      </w:r>
    </w:p>
    <w:p>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市委金融办安全运营</w:t>
      </w:r>
      <w:r>
        <w:rPr>
          <w:rFonts w:hint="eastAsia" w:ascii="仿宋_GB2312" w:hAnsi="仿宋_GB2312" w:eastAsia="仿宋_GB2312" w:cs="仿宋_GB2312"/>
          <w:color w:val="auto"/>
          <w:kern w:val="0"/>
          <w:sz w:val="32"/>
          <w:szCs w:val="32"/>
          <w:highlight w:val="none"/>
          <w:shd w:val="clear" w:color="auto" w:fill="FFFFFF"/>
          <w:lang w:bidi="ar"/>
        </w:rPr>
        <w:t>服务</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2025年</w:t>
      </w:r>
      <w:r>
        <w:rPr>
          <w:rFonts w:hint="eastAsia" w:ascii="仿宋_GB2312" w:hAnsi="仿宋_GB2312" w:eastAsia="仿宋_GB2312" w:cs="仿宋_GB2312"/>
          <w:color w:val="auto"/>
          <w:kern w:val="0"/>
          <w:sz w:val="32"/>
          <w:szCs w:val="32"/>
          <w:highlight w:val="none"/>
          <w:shd w:val="clear" w:color="auto" w:fill="FFFFFF"/>
          <w:lang w:eastAsia="zh-CN" w:bidi="ar"/>
        </w:rPr>
        <w:t>）</w:t>
      </w:r>
    </w:p>
    <w:p>
      <w:pPr>
        <w:widowControl/>
        <w:spacing w:line="560" w:lineRule="exact"/>
        <w:ind w:firstLine="640" w:firstLineChars="200"/>
        <w:jc w:val="left"/>
        <w:rPr>
          <w:rFonts w:hint="eastAsia"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（二）项目预算金额</w:t>
      </w:r>
    </w:p>
    <w:p>
      <w:pPr>
        <w:widowControl/>
        <w:spacing w:line="560" w:lineRule="exact"/>
        <w:ind w:firstLine="640" w:firstLineChars="200"/>
        <w:jc w:val="left"/>
        <w:rPr>
          <w:rFonts w:hint="eastAsia" w:ascii="楷体_GB2312" w:hAnsi="楷体_GB2312" w:eastAsia="楷体_GB2312" w:cs="楷体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shd w:val="clear" w:color="auto" w:fill="FFFFFF"/>
          <w:lang w:bidi="ar"/>
        </w:rPr>
        <w:t>本次采购项目为部门自行采购项目，总报价超过</w:t>
      </w:r>
      <w:r>
        <w:rPr>
          <w:rFonts w:hint="eastAsia" w:ascii="仿宋_GB2312" w:hAnsi="仿宋_GB2312" w:eastAsia="仿宋_GB2312" w:cs="仿宋_GB2312"/>
          <w:color w:val="auto"/>
          <w:kern w:val="0"/>
          <w:sz w:val="32"/>
          <w:szCs w:val="32"/>
          <w:highlight w:val="none"/>
          <w:shd w:val="clear" w:color="auto" w:fill="FFFFFF"/>
          <w:lang w:val="en-US" w:eastAsia="zh-CN" w:bidi="ar"/>
        </w:rPr>
        <w:t>56.87</w:t>
      </w:r>
      <w:r>
        <w:rPr>
          <w:rFonts w:hint="eastAsia" w:ascii="仿宋_GB2312" w:hAnsi="仿宋_GB2312" w:eastAsia="仿宋_GB2312" w:cs="仿宋_GB2312"/>
          <w:color w:val="auto"/>
          <w:kern w:val="0"/>
          <w:sz w:val="32"/>
          <w:szCs w:val="32"/>
          <w:highlight w:val="none"/>
          <w:shd w:val="clear" w:color="auto" w:fill="FFFFFF"/>
          <w:lang w:bidi="ar"/>
        </w:rPr>
        <w:t>万元(人民币)以上为无效投标</w:t>
      </w:r>
    </w:p>
    <w:p>
      <w:pPr>
        <w:widowControl/>
        <w:spacing w:line="560" w:lineRule="exact"/>
        <w:ind w:firstLine="640" w:firstLineChars="200"/>
        <w:jc w:val="left"/>
        <w:rPr>
          <w:rFonts w:hint="eastAsia" w:ascii="黑体" w:hAnsi="黑体" w:eastAsia="黑体" w:cs="黑体"/>
          <w:color w:val="auto"/>
          <w:kern w:val="0"/>
          <w:sz w:val="32"/>
          <w:szCs w:val="32"/>
          <w:highlight w:val="none"/>
          <w:lang w:bidi="ar"/>
        </w:rPr>
      </w:pPr>
      <w:r>
        <w:rPr>
          <w:rStyle w:val="17"/>
          <w:rFonts w:hint="eastAsia" w:ascii="黑体" w:hAnsi="黑体" w:eastAsia="黑体" w:cs="黑体"/>
          <w:b w:val="0"/>
          <w:color w:val="auto"/>
          <w:kern w:val="0"/>
          <w:sz w:val="32"/>
          <w:szCs w:val="32"/>
          <w:highlight w:val="none"/>
          <w:shd w:val="clear" w:color="auto" w:fill="FFFFFF"/>
          <w:lang w:bidi="ar"/>
        </w:rPr>
        <w:t>二、服务内容及要求</w:t>
      </w:r>
    </w:p>
    <w:p>
      <w:pPr>
        <w:widowControl/>
        <w:numPr>
          <w:ilvl w:val="0"/>
          <w:numId w:val="5"/>
        </w:numPr>
        <w:spacing w:line="560" w:lineRule="exact"/>
        <w:ind w:firstLine="640" w:firstLineChars="200"/>
        <w:jc w:val="left"/>
        <w:rPr>
          <w:rStyle w:val="17"/>
          <w:rFonts w:hint="eastAsia" w:ascii="楷体_GB2312" w:hAnsi="楷体_GB2312" w:eastAsia="楷体_GB2312" w:cs="楷体_GB2312"/>
          <w:b w:val="0"/>
          <w:color w:val="auto"/>
          <w:kern w:val="0"/>
          <w:sz w:val="32"/>
          <w:szCs w:val="32"/>
          <w:highlight w:val="none"/>
          <w:shd w:val="clear" w:color="auto" w:fill="FFFFFF"/>
          <w:lang w:bidi="ar"/>
        </w:rPr>
      </w:pPr>
      <w:r>
        <w:rPr>
          <w:rStyle w:val="17"/>
          <w:rFonts w:hint="eastAsia" w:ascii="楷体_GB2312" w:hAnsi="楷体_GB2312" w:eastAsia="楷体_GB2312" w:cs="楷体_GB2312"/>
          <w:b w:val="0"/>
          <w:color w:val="auto"/>
          <w:kern w:val="0"/>
          <w:sz w:val="32"/>
          <w:szCs w:val="32"/>
          <w:highlight w:val="none"/>
          <w:shd w:val="clear" w:color="auto" w:fill="FFFFFF"/>
          <w:lang w:val="en-US" w:eastAsia="zh-CN" w:bidi="ar"/>
        </w:rPr>
        <w:t>网络及信息安全运营</w:t>
      </w:r>
      <w:r>
        <w:rPr>
          <w:rStyle w:val="17"/>
          <w:rFonts w:hint="eastAsia" w:ascii="楷体_GB2312" w:hAnsi="楷体_GB2312" w:eastAsia="楷体_GB2312" w:cs="楷体_GB2312"/>
          <w:b w:val="0"/>
          <w:color w:val="auto"/>
          <w:kern w:val="0"/>
          <w:sz w:val="32"/>
          <w:szCs w:val="32"/>
          <w:highlight w:val="none"/>
          <w:shd w:val="clear" w:color="auto" w:fill="FFFFFF"/>
          <w:lang w:bidi="ar"/>
        </w:rPr>
        <w:t>服务内容</w:t>
      </w:r>
    </w:p>
    <w:p>
      <w:pPr>
        <w:widowControl/>
        <w:numPr>
          <w:ilvl w:val="255"/>
          <w:numId w:val="0"/>
        </w:numPr>
        <w:spacing w:line="560" w:lineRule="exact"/>
        <w:ind w:left="0" w:leftChars="0" w:firstLine="640" w:firstLineChars="200"/>
        <w:jc w:val="left"/>
        <w:rPr>
          <w:rStyle w:val="17"/>
          <w:rFonts w:hint="default" w:ascii="仿宋_GB2312" w:hAnsi="仿宋_GB2312" w:eastAsia="仿宋_GB2312" w:cs="仿宋_GB2312"/>
          <w:b w:val="0"/>
          <w:bCs/>
          <w:color w:val="auto"/>
          <w:kern w:val="0"/>
          <w:sz w:val="32"/>
          <w:szCs w:val="32"/>
          <w:highlight w:val="none"/>
          <w:shd w:val="clear" w:color="auto" w:fill="FFFFFF"/>
          <w:lang w:val="en-US" w:bidi="ar"/>
        </w:rPr>
      </w:pPr>
      <w:r>
        <w:rPr>
          <w:rFonts w:hint="eastAsia" w:ascii="仿宋_GB2312" w:hAnsi="仿宋_GB2312" w:eastAsia="仿宋_GB2312" w:cs="仿宋_GB2312"/>
          <w:bCs/>
          <w:color w:val="auto"/>
          <w:kern w:val="0"/>
          <w:sz w:val="32"/>
          <w:szCs w:val="32"/>
          <w:highlight w:val="none"/>
          <w:lang w:bidi="ar"/>
        </w:rPr>
        <w:t>1.</w:t>
      </w:r>
      <w:r>
        <w:rPr>
          <w:rFonts w:hint="eastAsia" w:ascii="仿宋_GB2312" w:hAnsi="仿宋_GB2312" w:eastAsia="仿宋_GB2312" w:cs="仿宋_GB2312"/>
          <w:bCs/>
          <w:color w:val="auto"/>
          <w:kern w:val="0"/>
          <w:sz w:val="32"/>
          <w:szCs w:val="32"/>
          <w:highlight w:val="none"/>
          <w:lang w:val="en-US" w:eastAsia="zh-CN" w:bidi="ar"/>
        </w:rPr>
        <w:t>信息安全风险评估服务</w:t>
      </w:r>
    </w:p>
    <w:p>
      <w:pPr>
        <w:widowControl/>
        <w:numPr>
          <w:ilvl w:val="255"/>
          <w:numId w:val="0"/>
        </w:numPr>
        <w:spacing w:line="560" w:lineRule="exact"/>
        <w:ind w:firstLine="640" w:firstLineChars="200"/>
        <w:jc w:val="left"/>
        <w:rPr>
          <w:rStyle w:val="17"/>
          <w:rFonts w:hint="eastAsia" w:ascii="仿宋_GB2312" w:hAnsi="仿宋_GB2312" w:eastAsia="仿宋_GB2312" w:cs="仿宋_GB2312"/>
          <w:b w:val="0"/>
          <w:bCs/>
          <w:color w:val="auto"/>
          <w:kern w:val="0"/>
          <w:sz w:val="32"/>
          <w:szCs w:val="32"/>
          <w:highlight w:val="none"/>
          <w:shd w:val="clear" w:color="auto" w:fill="FFFFFF"/>
          <w:lang w:bidi="ar"/>
        </w:rPr>
      </w:pPr>
      <w:r>
        <w:rPr>
          <w:rStyle w:val="17"/>
          <w:rFonts w:hint="eastAsia" w:ascii="仿宋_GB2312" w:hAnsi="仿宋_GB2312" w:eastAsia="仿宋_GB2312" w:cs="仿宋_GB2312"/>
          <w:b w:val="0"/>
          <w:bCs/>
          <w:color w:val="auto"/>
          <w:kern w:val="0"/>
          <w:sz w:val="32"/>
          <w:szCs w:val="32"/>
          <w:highlight w:val="none"/>
          <w:shd w:val="clear" w:color="auto" w:fill="FFFFFF"/>
          <w:lang w:bidi="ar"/>
        </w:rPr>
        <w:t>在服务期内对单位的所有信息系统进行一次安全风险自评估，依据国家有关信息安全技术标准，对信息系统及由其处理、传输和存储的信息的保密性、完整性和可用性等安全属性进行科学评价的过程，评估信息系统的脆弱性、信息系统面临的威胁以及脆弱性被威胁源利用后所产生的实际负面影响，并根据安全事件发生的可能性和负面影响的程度来识别信息系统的安全风险。制定安全风险评估的日常工作制度，将安全管理落实到日常安全工作中，</w:t>
      </w:r>
      <w:r>
        <w:rPr>
          <w:rStyle w:val="17"/>
          <w:rFonts w:hint="eastAsia" w:ascii="仿宋_GB2312" w:hAnsi="仿宋_GB2312" w:eastAsia="仿宋_GB2312" w:cs="仿宋_GB2312"/>
          <w:b w:val="0"/>
          <w:bCs/>
          <w:color w:val="auto"/>
          <w:kern w:val="0"/>
          <w:sz w:val="32"/>
          <w:szCs w:val="32"/>
          <w:highlight w:val="none"/>
          <w:shd w:val="clear" w:color="auto" w:fill="FFFFFF"/>
          <w:lang w:val="en-US" w:eastAsia="zh-CN" w:bidi="ar"/>
        </w:rPr>
        <w:t>协助起草</w:t>
      </w:r>
      <w:r>
        <w:rPr>
          <w:rStyle w:val="17"/>
          <w:rFonts w:hint="eastAsia" w:ascii="仿宋_GB2312" w:hAnsi="仿宋_GB2312" w:eastAsia="仿宋_GB2312" w:cs="仿宋_GB2312"/>
          <w:b w:val="0"/>
          <w:bCs/>
          <w:color w:val="auto"/>
          <w:kern w:val="0"/>
          <w:sz w:val="32"/>
          <w:szCs w:val="32"/>
          <w:highlight w:val="none"/>
          <w:shd w:val="clear" w:color="auto" w:fill="FFFFFF"/>
          <w:lang w:bidi="ar"/>
        </w:rPr>
        <w:t>年度《信息安全风险评估工作报告》工作。</w:t>
      </w:r>
    </w:p>
    <w:p>
      <w:pPr>
        <w:widowControl/>
        <w:numPr>
          <w:ilvl w:val="255"/>
          <w:numId w:val="0"/>
        </w:numPr>
        <w:spacing w:line="560" w:lineRule="exact"/>
        <w:ind w:firstLine="640" w:firstLineChars="200"/>
        <w:jc w:val="left"/>
        <w:rPr>
          <w:rFonts w:hint="eastAsia"/>
          <w:color w:val="auto"/>
          <w:highlight w:val="none"/>
        </w:rPr>
      </w:pPr>
      <w:r>
        <w:rPr>
          <w:rStyle w:val="17"/>
          <w:rFonts w:hint="eastAsia" w:ascii="仿宋_GB2312" w:hAnsi="仿宋_GB2312" w:eastAsia="仿宋_GB2312" w:cs="仿宋_GB2312"/>
          <w:b w:val="0"/>
          <w:bCs/>
          <w:color w:val="auto"/>
          <w:kern w:val="0"/>
          <w:sz w:val="32"/>
          <w:szCs w:val="32"/>
          <w:highlight w:val="none"/>
          <w:shd w:val="clear" w:color="auto" w:fill="FFFFFF"/>
          <w:lang w:eastAsia="zh-CN" w:bidi="ar"/>
        </w:rPr>
        <w:t>服务实施半年内</w:t>
      </w:r>
      <w:r>
        <w:rPr>
          <w:rStyle w:val="17"/>
          <w:rFonts w:hint="eastAsia" w:ascii="仿宋_GB2312" w:hAnsi="仿宋_GB2312" w:eastAsia="仿宋_GB2312" w:cs="仿宋_GB2312"/>
          <w:b w:val="0"/>
          <w:bCs/>
          <w:color w:val="auto"/>
          <w:kern w:val="0"/>
          <w:sz w:val="32"/>
          <w:szCs w:val="32"/>
          <w:highlight w:val="none"/>
          <w:shd w:val="clear" w:color="auto" w:fill="FFFFFF"/>
          <w:lang w:bidi="ar"/>
        </w:rPr>
        <w:t>提交《信息安全风险自评估实施方案》1份、《信息安全风险自评估工作计划》1份、《信息安全风险自评估安全核查记录》1份以及《信息安全风险自评估报告》1份。评估内容包括但不限于：信息安全现状、信息安全风险自评估工作概况、安全风险评估结果及处理措施、安全评估中发现的问题与建议</w:t>
      </w:r>
      <w:r>
        <w:rPr>
          <w:rStyle w:val="17"/>
          <w:rFonts w:hint="eastAsia" w:ascii="仿宋_GB2312" w:hAnsi="仿宋_GB2312" w:eastAsia="仿宋_GB2312" w:cs="仿宋_GB2312"/>
          <w:b w:val="0"/>
          <w:bCs/>
          <w:color w:val="auto"/>
          <w:kern w:val="0"/>
          <w:sz w:val="32"/>
          <w:szCs w:val="32"/>
          <w:highlight w:val="none"/>
          <w:shd w:val="clear" w:color="auto" w:fill="FFFFFF"/>
          <w:lang w:eastAsia="zh-CN" w:bidi="ar"/>
        </w:rPr>
        <w:t>，并制定实施方案推进问题改进</w:t>
      </w:r>
      <w:r>
        <w:rPr>
          <w:rStyle w:val="17"/>
          <w:rFonts w:hint="eastAsia" w:ascii="仿宋_GB2312" w:hAnsi="仿宋_GB2312" w:eastAsia="仿宋_GB2312" w:cs="仿宋_GB2312"/>
          <w:b w:val="0"/>
          <w:bCs/>
          <w:color w:val="auto"/>
          <w:kern w:val="0"/>
          <w:sz w:val="32"/>
          <w:szCs w:val="32"/>
          <w:highlight w:val="none"/>
          <w:shd w:val="clear" w:color="auto" w:fill="FFFFFF"/>
          <w:lang w:bidi="ar"/>
        </w:rPr>
        <w:t>、上期风险评估风险处理情况等。</w:t>
      </w:r>
    </w:p>
    <w:p>
      <w:pPr>
        <w:widowControl/>
        <w:numPr>
          <w:ilvl w:val="255"/>
          <w:numId w:val="0"/>
        </w:numPr>
        <w:spacing w:line="560" w:lineRule="exact"/>
        <w:ind w:left="0" w:leftChars="0"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2.</w:t>
      </w:r>
      <w:r>
        <w:rPr>
          <w:rFonts w:hint="eastAsia" w:ascii="仿宋_GB2312" w:hAnsi="仿宋_GB2312" w:eastAsia="仿宋_GB2312" w:cs="仿宋_GB2312"/>
          <w:bCs/>
          <w:color w:val="auto"/>
          <w:kern w:val="0"/>
          <w:sz w:val="32"/>
          <w:szCs w:val="32"/>
          <w:highlight w:val="none"/>
          <w:lang w:eastAsia="zh-CN" w:bidi="ar"/>
        </w:rPr>
        <w:t>网络安全漏洞检测及加固服务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提供信息系统中点、线、面各个层次的安全漏洞检测服务，点即信息系统中的各个组成部分，如：操作系统、防火墙等网络设备，以及运行在各操作系统上的数据库系统，Web应用服务；线是网络的整体</w:t>
      </w:r>
      <w:r>
        <w:rPr>
          <w:rFonts w:hint="eastAsia" w:ascii="仿宋_GB2312" w:hAnsi="仿宋_GB2312" w:eastAsia="仿宋_GB2312" w:cs="仿宋_GB2312"/>
          <w:bCs/>
          <w:color w:val="auto"/>
          <w:kern w:val="0"/>
          <w:sz w:val="32"/>
          <w:szCs w:val="32"/>
          <w:highlight w:val="none"/>
          <w:lang w:val="en-US" w:eastAsia="zh-CN" w:bidi="ar"/>
        </w:rPr>
        <w:t>拓扑</w:t>
      </w:r>
      <w:r>
        <w:rPr>
          <w:rFonts w:hint="eastAsia" w:ascii="仿宋_GB2312" w:hAnsi="仿宋_GB2312" w:eastAsia="仿宋_GB2312" w:cs="仿宋_GB2312"/>
          <w:bCs/>
          <w:color w:val="auto"/>
          <w:kern w:val="0"/>
          <w:sz w:val="32"/>
          <w:szCs w:val="32"/>
          <w:highlight w:val="none"/>
          <w:lang w:bidi="ar"/>
        </w:rPr>
        <w:t>结构、安全产品的部署中否合理、安全、高效；面则是对整个信息系统的维护、运营和管理。</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服务期内保障单位信息系统的安全状况维持在较高水平，减少安全事件发生的可能性。服务期结束交付</w:t>
      </w:r>
      <w:r>
        <w:rPr>
          <w:rFonts w:hint="eastAsia" w:ascii="仿宋_GB2312" w:hAnsi="仿宋_GB2312" w:eastAsia="仿宋_GB2312" w:cs="仿宋_GB2312"/>
          <w:bCs/>
          <w:color w:val="auto"/>
          <w:kern w:val="0"/>
          <w:sz w:val="32"/>
          <w:szCs w:val="32"/>
          <w:highlight w:val="none"/>
          <w:lang w:eastAsia="zh-CN" w:bidi="ar"/>
        </w:rPr>
        <w:t>不少于</w:t>
      </w:r>
      <w:r>
        <w:rPr>
          <w:rFonts w:hint="eastAsia" w:ascii="仿宋_GB2312" w:hAnsi="仿宋_GB2312" w:eastAsia="仿宋_GB2312" w:cs="仿宋_GB2312"/>
          <w:bCs/>
          <w:color w:val="auto"/>
          <w:kern w:val="0"/>
          <w:sz w:val="32"/>
          <w:szCs w:val="32"/>
          <w:highlight w:val="none"/>
          <w:lang w:bidi="ar"/>
        </w:rPr>
        <w:t>《每季度信息系统漏洞扫描报告》4份、《每季度主机安全检测报告》4份、《每季度终端安全检测报告》4份</w:t>
      </w:r>
      <w:r>
        <w:rPr>
          <w:rFonts w:hint="eastAsia" w:ascii="仿宋_GB2312" w:hAnsi="仿宋_GB2312" w:eastAsia="仿宋_GB2312" w:cs="仿宋_GB2312"/>
          <w:bCs/>
          <w:color w:val="auto"/>
          <w:kern w:val="0"/>
          <w:sz w:val="32"/>
          <w:szCs w:val="32"/>
          <w:highlight w:val="none"/>
          <w:lang w:eastAsia="zh-CN" w:bidi="ar"/>
        </w:rPr>
        <w:t>。</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3.网络安全基线建设与核查服务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为了维持IT信息系统的安全并方便管理，必须从入网测试、工程验收和运行维护等设备全生命周期各个阶段加强和落实安全要求，设立满足安全要求的安全基线。形成针对不同系统的详细检查列表和操作指南，为标准化的技术安全操作提供框架和标准。</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服务期内确保所有信息化资产满足安全基线要求。服务期</w:t>
      </w:r>
      <w:r>
        <w:rPr>
          <w:rFonts w:hint="eastAsia" w:ascii="仿宋_GB2312" w:hAnsi="仿宋_GB2312" w:eastAsia="仿宋_GB2312" w:cs="仿宋_GB2312"/>
          <w:bCs/>
          <w:color w:val="auto"/>
          <w:kern w:val="0"/>
          <w:sz w:val="32"/>
          <w:szCs w:val="32"/>
          <w:highlight w:val="none"/>
          <w:lang w:eastAsia="zh-CN" w:bidi="ar"/>
        </w:rPr>
        <w:t>内</w:t>
      </w:r>
      <w:r>
        <w:rPr>
          <w:rFonts w:hint="eastAsia" w:ascii="仿宋_GB2312" w:hAnsi="仿宋_GB2312" w:eastAsia="仿宋_GB2312" w:cs="仿宋_GB2312"/>
          <w:bCs/>
          <w:color w:val="auto"/>
          <w:kern w:val="0"/>
          <w:sz w:val="32"/>
          <w:szCs w:val="32"/>
          <w:highlight w:val="none"/>
          <w:lang w:bidi="ar"/>
        </w:rPr>
        <w:t>交付《网络安全基线核查表》2份</w:t>
      </w:r>
      <w:r>
        <w:rPr>
          <w:rFonts w:hint="eastAsia" w:ascii="仿宋_GB2312" w:hAnsi="仿宋_GB2312" w:eastAsia="仿宋_GB2312" w:cs="仿宋_GB2312"/>
          <w:bCs/>
          <w:color w:val="auto"/>
          <w:kern w:val="0"/>
          <w:sz w:val="32"/>
          <w:szCs w:val="32"/>
          <w:highlight w:val="none"/>
          <w:lang w:eastAsia="zh-CN" w:bidi="ar"/>
        </w:rPr>
        <w:t>。</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4.</w:t>
      </w:r>
      <w:r>
        <w:rPr>
          <w:rFonts w:hint="eastAsia" w:ascii="仿宋_GB2312" w:hAnsi="仿宋_GB2312" w:eastAsia="仿宋_GB2312" w:cs="仿宋_GB2312"/>
          <w:bCs/>
          <w:color w:val="auto"/>
          <w:kern w:val="0"/>
          <w:sz w:val="32"/>
          <w:szCs w:val="32"/>
          <w:highlight w:val="none"/>
          <w:lang w:bidi="ar"/>
        </w:rPr>
        <w:t>网络安全日志审计服务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在系统的运行过程中，会产生大量的日志信息，这些信息保存在网络设备、服务器的各个部分，对日志进行分析，</w:t>
      </w:r>
      <w:r>
        <w:rPr>
          <w:rFonts w:hint="eastAsia" w:ascii="仿宋_GB2312" w:hAnsi="仿宋_GB2312" w:eastAsia="仿宋_GB2312" w:cs="仿宋_GB2312"/>
          <w:bCs/>
          <w:color w:val="auto"/>
          <w:kern w:val="0"/>
          <w:sz w:val="32"/>
          <w:szCs w:val="32"/>
          <w:highlight w:val="none"/>
          <w:lang w:val="en-US" w:eastAsia="zh-CN" w:bidi="ar"/>
        </w:rPr>
        <w:t>以</w:t>
      </w:r>
      <w:r>
        <w:rPr>
          <w:rFonts w:hint="eastAsia" w:ascii="仿宋_GB2312" w:hAnsi="仿宋_GB2312" w:eastAsia="仿宋_GB2312" w:cs="仿宋_GB2312"/>
          <w:bCs/>
          <w:color w:val="auto"/>
          <w:kern w:val="0"/>
          <w:sz w:val="32"/>
          <w:szCs w:val="32"/>
          <w:highlight w:val="none"/>
          <w:lang w:bidi="ar"/>
        </w:rPr>
        <w:t>发现系统中的一些非正常行为，通过与定义的安全策略进行比较，确认安全系统、策略是否正确得到执行，系统的安全等级是否能长期保持。</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审计工作完成后，根据详细记录各项审计结果，分析审计日志，指出审计过程中存在的问题，发现潜在的安全威胁，提出改进建议，同时根据要求，编写《网络安全审计报告》12份。</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5.</w:t>
      </w:r>
      <w:r>
        <w:rPr>
          <w:rFonts w:hint="eastAsia" w:ascii="仿宋_GB2312" w:hAnsi="仿宋_GB2312" w:eastAsia="仿宋_GB2312" w:cs="仿宋_GB2312"/>
          <w:bCs/>
          <w:color w:val="auto"/>
          <w:kern w:val="0"/>
          <w:sz w:val="32"/>
          <w:szCs w:val="32"/>
          <w:highlight w:val="none"/>
          <w:lang w:bidi="ar"/>
        </w:rPr>
        <w:t>渗透测试专项服务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每年</w:t>
      </w:r>
      <w:r>
        <w:rPr>
          <w:rFonts w:hint="eastAsia" w:ascii="仿宋_GB2312" w:hAnsi="仿宋_GB2312" w:eastAsia="仿宋_GB2312" w:cs="仿宋_GB2312"/>
          <w:bCs/>
          <w:color w:val="auto"/>
          <w:kern w:val="0"/>
          <w:sz w:val="32"/>
          <w:szCs w:val="32"/>
          <w:highlight w:val="none"/>
          <w:lang w:eastAsia="zh-CN" w:bidi="ar"/>
        </w:rPr>
        <w:t>至少</w:t>
      </w:r>
      <w:r>
        <w:rPr>
          <w:rFonts w:hint="eastAsia" w:ascii="仿宋_GB2312" w:hAnsi="仿宋_GB2312" w:eastAsia="仿宋_GB2312" w:cs="仿宋_GB2312"/>
          <w:bCs/>
          <w:color w:val="auto"/>
          <w:kern w:val="0"/>
          <w:sz w:val="32"/>
          <w:szCs w:val="32"/>
          <w:highlight w:val="none"/>
          <w:lang w:bidi="ar"/>
        </w:rPr>
        <w:t>开展2次渗透测试服务，以及时发现系统存在的深层次安全风险和漏洞，提出针对性的整改方案并协助落实修复加固工作。</w:t>
      </w:r>
      <w:r>
        <w:rPr>
          <w:rFonts w:hint="eastAsia" w:ascii="仿宋_GB2312" w:hAnsi="仿宋_GB2312" w:eastAsia="仿宋_GB2312" w:cs="仿宋_GB2312"/>
          <w:bCs/>
          <w:color w:val="auto"/>
          <w:kern w:val="0"/>
          <w:sz w:val="32"/>
          <w:szCs w:val="32"/>
          <w:highlight w:val="none"/>
          <w:lang w:eastAsia="zh-CN" w:bidi="ar"/>
        </w:rPr>
        <w:t>根据网络安全主管部门要求，在重保期前，开展必要的渗透测试服务。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测试结果对每种威胁进行详细描述，描述内容至少包括测试范围、过程</w:t>
      </w:r>
      <w:r>
        <w:rPr>
          <w:rFonts w:hint="eastAsia" w:ascii="仿宋_GB2312" w:hAnsi="仿宋_GB2312" w:eastAsia="仿宋_GB2312" w:cs="仿宋_GB2312"/>
          <w:bCs/>
          <w:color w:val="auto"/>
          <w:kern w:val="0"/>
          <w:sz w:val="32"/>
          <w:szCs w:val="32"/>
          <w:highlight w:val="none"/>
          <w:lang w:eastAsia="zh-CN" w:bidi="ar"/>
        </w:rPr>
        <w:t>，</w:t>
      </w:r>
      <w:r>
        <w:rPr>
          <w:rFonts w:hint="eastAsia" w:ascii="仿宋_GB2312" w:hAnsi="仿宋_GB2312" w:eastAsia="仿宋_GB2312" w:cs="仿宋_GB2312"/>
          <w:bCs/>
          <w:color w:val="auto"/>
          <w:kern w:val="0"/>
          <w:sz w:val="32"/>
          <w:szCs w:val="32"/>
          <w:highlight w:val="none"/>
          <w:lang w:bidi="ar"/>
        </w:rPr>
        <w:t>使用的技术手段以及获得的成果，</w:t>
      </w:r>
      <w:r>
        <w:rPr>
          <w:rFonts w:hint="eastAsia" w:ascii="仿宋_GB2312" w:hAnsi="仿宋_GB2312" w:eastAsia="仿宋_GB2312" w:cs="仿宋_GB2312"/>
          <w:bCs/>
          <w:color w:val="auto"/>
          <w:kern w:val="0"/>
          <w:sz w:val="32"/>
          <w:szCs w:val="32"/>
          <w:highlight w:val="none"/>
          <w:lang w:val="en-US" w:eastAsia="zh-CN" w:bidi="ar"/>
        </w:rPr>
        <w:t>并提供</w:t>
      </w:r>
      <w:r>
        <w:rPr>
          <w:rFonts w:hint="eastAsia" w:ascii="仿宋_GB2312" w:hAnsi="仿宋_GB2312" w:eastAsia="仿宋_GB2312" w:cs="仿宋_GB2312"/>
          <w:bCs/>
          <w:color w:val="auto"/>
          <w:kern w:val="0"/>
          <w:sz w:val="32"/>
          <w:szCs w:val="32"/>
          <w:highlight w:val="none"/>
          <w:lang w:bidi="ar"/>
        </w:rPr>
        <w:t>解决方案和相关的安全建议，为管理员的运营和修补工作提供参考。提供1份《渗透测试方案及计划》、2份《渗透测试报告》、2份《渗透测试复测报告》。</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6.</w:t>
      </w:r>
      <w:r>
        <w:rPr>
          <w:rFonts w:hint="eastAsia" w:ascii="仿宋_GB2312" w:hAnsi="仿宋_GB2312" w:eastAsia="仿宋_GB2312" w:cs="仿宋_GB2312"/>
          <w:bCs/>
          <w:color w:val="auto"/>
          <w:kern w:val="0"/>
          <w:sz w:val="32"/>
          <w:szCs w:val="32"/>
          <w:highlight w:val="none"/>
          <w:lang w:bidi="ar"/>
        </w:rPr>
        <w:t>应急演练及重要时期安全保障服务</w:t>
      </w:r>
    </w:p>
    <w:p>
      <w:pPr>
        <w:pStyle w:val="2"/>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根据国家、省、市应急体系建设标准和要求，结合我办实际情况，制定、完善网络与信息安全突发事件应急预案综合预案，制定专项应急预案，建立网络与信息安全应急指挥领导小组，成立应急处置专业技术队伍；组织开展网络安全突发事件应急演练，验证应急预案可行性，并对发现的问题进行修正；同时做好重要时期（如深蓝、粤盾、护网）安全人员值班值守工作。</w:t>
      </w:r>
    </w:p>
    <w:p>
      <w:pPr>
        <w:pStyle w:val="2"/>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服务期内完成应急预案的编制后提交1份《网络安全和数据安全事件应急预案》，完成应急演练工作后交付1份《应急演练工作计划》、1份《应急演练工作脚本》、1份《应急演练工作总结》及演练视频照片等材料。重要时期值班值守对信息系统网络流量进行分析并提交《网络安全防守报告》不于5份。</w:t>
      </w:r>
    </w:p>
    <w:p>
      <w:pPr>
        <w:pStyle w:val="2"/>
        <w:rPr>
          <w:rFonts w:hint="default" w:ascii="仿宋_GB2312" w:hAnsi="仿宋_GB2312" w:eastAsia="仿宋_GB2312" w:cs="仿宋_GB2312"/>
          <w:bCs/>
          <w:color w:val="auto"/>
          <w:kern w:val="0"/>
          <w:sz w:val="32"/>
          <w:szCs w:val="32"/>
          <w:highlight w:val="none"/>
          <w:lang w:val="en-US" w:eastAsia="zh-CN" w:bidi="ar"/>
        </w:rPr>
      </w:pPr>
      <w:r>
        <w:rPr>
          <w:rFonts w:hint="eastAsia" w:ascii="仿宋_GB2312" w:hAnsi="仿宋_GB2312" w:eastAsia="仿宋_GB2312" w:cs="仿宋_GB2312"/>
          <w:bCs/>
          <w:color w:val="auto"/>
          <w:kern w:val="0"/>
          <w:sz w:val="32"/>
          <w:szCs w:val="32"/>
          <w:highlight w:val="none"/>
          <w:lang w:val="en-US" w:eastAsia="zh-CN" w:bidi="ar"/>
        </w:rPr>
        <w:t>7.网络安全检查相关服务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eastAsia="zh-CN" w:bidi="ar"/>
        </w:rPr>
      </w:pPr>
      <w:r>
        <w:rPr>
          <w:rFonts w:hint="eastAsia" w:ascii="仿宋_GB2312" w:hAnsi="仿宋_GB2312" w:eastAsia="仿宋_GB2312" w:cs="仿宋_GB2312"/>
          <w:bCs/>
          <w:color w:val="auto"/>
          <w:kern w:val="0"/>
          <w:sz w:val="32"/>
          <w:szCs w:val="32"/>
          <w:highlight w:val="none"/>
          <w:lang w:bidi="ar"/>
        </w:rPr>
        <w:t>协助</w:t>
      </w:r>
      <w:r>
        <w:rPr>
          <w:rFonts w:hint="eastAsia" w:ascii="仿宋_GB2312" w:hAnsi="仿宋_GB2312" w:eastAsia="仿宋_GB2312" w:cs="仿宋_GB2312"/>
          <w:bCs/>
          <w:color w:val="auto"/>
          <w:kern w:val="0"/>
          <w:sz w:val="32"/>
          <w:szCs w:val="32"/>
          <w:highlight w:val="none"/>
          <w:lang w:val="en-US" w:eastAsia="zh-CN" w:bidi="ar"/>
        </w:rPr>
        <w:t>我办</w:t>
      </w:r>
      <w:r>
        <w:rPr>
          <w:rFonts w:hint="eastAsia" w:ascii="仿宋_GB2312" w:hAnsi="仿宋_GB2312" w:eastAsia="仿宋_GB2312" w:cs="仿宋_GB2312"/>
          <w:bCs/>
          <w:color w:val="auto"/>
          <w:kern w:val="0"/>
          <w:sz w:val="32"/>
          <w:szCs w:val="32"/>
          <w:highlight w:val="none"/>
          <w:lang w:bidi="ar"/>
        </w:rPr>
        <w:t>做好上级主管部门年度开展的网络安全检查相关工作，开展网络安全自查工作，并组织开展下属单位检查工作</w:t>
      </w:r>
      <w:r>
        <w:rPr>
          <w:rFonts w:hint="eastAsia" w:ascii="仿宋_GB2312" w:hAnsi="仿宋_GB2312" w:eastAsia="仿宋_GB2312" w:cs="仿宋_GB2312"/>
          <w:bCs/>
          <w:color w:val="auto"/>
          <w:kern w:val="0"/>
          <w:sz w:val="32"/>
          <w:szCs w:val="32"/>
          <w:highlight w:val="none"/>
          <w:lang w:eastAsia="zh-CN" w:bidi="ar"/>
        </w:rPr>
        <w:t>。</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在服务期内按要求提供网络安全联合检查服务，服务完成后输出《网络安全联合检查服务报告》1份。</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8.</w:t>
      </w:r>
      <w:r>
        <w:rPr>
          <w:rFonts w:hint="eastAsia" w:ascii="仿宋_GB2312" w:hAnsi="仿宋_GB2312" w:eastAsia="仿宋_GB2312" w:cs="仿宋_GB2312"/>
          <w:bCs/>
          <w:color w:val="auto"/>
          <w:kern w:val="0"/>
          <w:sz w:val="32"/>
          <w:szCs w:val="32"/>
          <w:highlight w:val="none"/>
          <w:lang w:bidi="ar"/>
        </w:rPr>
        <w:t>网络安全通报服务</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基于</w:t>
      </w:r>
      <w:r>
        <w:rPr>
          <w:rFonts w:hint="eastAsia" w:ascii="仿宋_GB2312" w:hAnsi="仿宋_GB2312" w:eastAsia="仿宋_GB2312" w:cs="仿宋_GB2312"/>
          <w:bCs/>
          <w:color w:val="auto"/>
          <w:kern w:val="0"/>
          <w:sz w:val="32"/>
          <w:szCs w:val="32"/>
          <w:highlight w:val="none"/>
          <w:lang w:bidi="ar"/>
        </w:rPr>
        <w:t>每天都有新的系统漏洞被发布和新的黑客技术出现，对世界最新安全漏洞和黑客技术进行跟踪和研究，并定期（每半月1次）及时在线通告最新的安全动态、安全技术的发展趋势，包括时效性很强的漏洞、攻击手法、病毒码的</w:t>
      </w:r>
      <w:r>
        <w:rPr>
          <w:rFonts w:hint="eastAsia" w:ascii="仿宋_GB2312" w:hAnsi="仿宋_GB2312" w:eastAsia="仿宋_GB2312" w:cs="仿宋_GB2312"/>
          <w:bCs/>
          <w:color w:val="auto"/>
          <w:kern w:val="0"/>
          <w:sz w:val="32"/>
          <w:szCs w:val="32"/>
          <w:highlight w:val="none"/>
          <w:lang w:eastAsia="zh-CN" w:bidi="ar"/>
        </w:rPr>
        <w:t>预警通知</w:t>
      </w:r>
      <w:r>
        <w:rPr>
          <w:rFonts w:hint="eastAsia" w:ascii="仿宋_GB2312" w:hAnsi="仿宋_GB2312" w:eastAsia="仿宋_GB2312" w:cs="仿宋_GB2312"/>
          <w:bCs/>
          <w:color w:val="auto"/>
          <w:kern w:val="0"/>
          <w:sz w:val="32"/>
          <w:szCs w:val="32"/>
          <w:highlight w:val="none"/>
          <w:lang w:bidi="ar"/>
        </w:rPr>
        <w:t>，帮助安全管理员在最快的时间内了解重要的安全信息，并将分析、汇总和研判结果及时发布预警信息。</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服务期内保障通报准确与时效性，服务期结束后提供《网络安全事件通报》24份。</w:t>
      </w:r>
    </w:p>
    <w:p>
      <w:pPr>
        <w:widowControl/>
        <w:numPr>
          <w:ilvl w:val="255"/>
          <w:numId w:val="0"/>
        </w:numPr>
        <w:spacing w:line="560" w:lineRule="exact"/>
        <w:ind w:firstLine="640" w:firstLineChars="200"/>
        <w:jc w:val="left"/>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9.安全培训</w:t>
      </w:r>
    </w:p>
    <w:p>
      <w:pPr>
        <w:widowControl w:val="0"/>
        <w:ind w:firstLine="640" w:firstLineChars="200"/>
        <w:rPr>
          <w:rFonts w:hint="eastAsia" w:ascii="仿宋_GB2312" w:hAnsi="仿宋_GB2312" w:eastAsia="仿宋_GB2312" w:cs="仿宋_GB2312"/>
          <w:bCs/>
          <w:color w:val="auto"/>
          <w:kern w:val="0"/>
          <w:sz w:val="32"/>
          <w:szCs w:val="32"/>
          <w:highlight w:val="none"/>
          <w:lang w:val="en-US" w:eastAsia="zh-CN" w:bidi="ar"/>
        </w:rPr>
      </w:pPr>
      <w:r>
        <w:rPr>
          <w:rFonts w:hint="eastAsia" w:ascii="仿宋_GB2312" w:hAnsi="仿宋_GB2312" w:eastAsia="仿宋_GB2312" w:cs="仿宋_GB2312"/>
          <w:bCs/>
          <w:color w:val="auto"/>
          <w:kern w:val="0"/>
          <w:sz w:val="32"/>
          <w:szCs w:val="32"/>
          <w:highlight w:val="none"/>
          <w:lang w:val="en-US" w:eastAsia="zh-CN" w:bidi="ar"/>
        </w:rPr>
        <w:t>根据本单位安全工作情况开展不少于1次安全意识培训，</w:t>
      </w:r>
      <w:r>
        <w:rPr>
          <w:rFonts w:hint="eastAsia" w:ascii="仿宋_GB2312" w:hAnsi="仿宋_GB2312" w:eastAsia="仿宋_GB2312" w:cs="仿宋_GB2312"/>
          <w:bCs/>
          <w:color w:val="auto"/>
          <w:kern w:val="0"/>
          <w:sz w:val="32"/>
          <w:szCs w:val="32"/>
          <w:highlight w:val="none"/>
          <w:lang w:bidi="ar"/>
        </w:rPr>
        <w:t>提高办公人员的安全意识和安全关键岗位人员的安全技能水平。</w:t>
      </w:r>
      <w:r>
        <w:rPr>
          <w:rFonts w:hint="eastAsia" w:ascii="仿宋_GB2312" w:hAnsi="仿宋_GB2312" w:eastAsia="仿宋_GB2312" w:cs="仿宋_GB2312"/>
          <w:bCs/>
          <w:color w:val="auto"/>
          <w:kern w:val="0"/>
          <w:sz w:val="32"/>
          <w:szCs w:val="32"/>
          <w:highlight w:val="none"/>
          <w:lang w:val="en-US" w:eastAsia="zh-CN" w:bidi="ar"/>
        </w:rPr>
        <w:t>培训时间根据本单位实际情况安全，培训内容包含但不限于安全知识培训、安全意识培训和安全技能培训，培训方式原则上为线下集中培训（如遇特殊情况，可提供在线培训服务）。</w:t>
      </w:r>
    </w:p>
    <w:p>
      <w:pPr>
        <w:numPr>
          <w:ilvl w:val="255"/>
          <w:numId w:val="0"/>
        </w:numPr>
        <w:spacing w:line="560" w:lineRule="exact"/>
        <w:rPr>
          <w:rFonts w:hint="eastAsia" w:ascii="楷体_GB2312" w:hAnsi="楷体_GB2312" w:eastAsia="楷体_GB2312" w:cs="楷体_GB2312"/>
          <w:color w:val="auto"/>
          <w:sz w:val="32"/>
          <w:szCs w:val="32"/>
          <w:highlight w:val="none"/>
        </w:rPr>
      </w:pPr>
      <w:r>
        <w:rPr>
          <w:rFonts w:hint="eastAsia" w:ascii="Times New Roman" w:hAnsi="Times New Roman" w:eastAsia="仿宋"/>
          <w:bCs/>
          <w:color w:val="auto"/>
          <w:sz w:val="32"/>
          <w:szCs w:val="21"/>
          <w:highlight w:val="none"/>
        </w:rPr>
        <w:t xml:space="preserve">    </w:t>
      </w:r>
      <w:r>
        <w:rPr>
          <w:rFonts w:hint="eastAsia" w:ascii="楷体_GB2312" w:hAnsi="楷体_GB2312" w:eastAsia="楷体_GB2312" w:cs="楷体_GB2312"/>
          <w:bCs/>
          <w:color w:val="auto"/>
          <w:sz w:val="32"/>
          <w:szCs w:val="32"/>
          <w:highlight w:val="none"/>
        </w:rPr>
        <w:t>(二)</w:t>
      </w:r>
      <w:r>
        <w:rPr>
          <w:rFonts w:hint="eastAsia" w:ascii="楷体_GB2312" w:hAnsi="楷体_GB2312" w:eastAsia="楷体_GB2312" w:cs="楷体_GB2312"/>
          <w:bCs/>
          <w:color w:val="auto"/>
          <w:sz w:val="32"/>
          <w:szCs w:val="32"/>
          <w:highlight w:val="none"/>
          <w:lang w:val="en-US" w:eastAsia="zh-CN"/>
        </w:rPr>
        <w:t>数据安全技术服务内容</w:t>
      </w:r>
    </w:p>
    <w:p>
      <w:pPr>
        <w:widowControl/>
        <w:spacing w:line="560" w:lineRule="exact"/>
        <w:ind w:firstLine="640"/>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1.</w:t>
      </w:r>
      <w:r>
        <w:rPr>
          <w:rFonts w:hint="eastAsia" w:ascii="仿宋_GB2312" w:hAnsi="仿宋_GB2312" w:eastAsia="仿宋_GB2312" w:cs="仿宋_GB2312"/>
          <w:color w:val="auto"/>
          <w:sz w:val="32"/>
          <w:szCs w:val="32"/>
          <w:highlight w:val="none"/>
          <w:lang w:val="en-US" w:eastAsia="zh-CN" w:bidi="ar"/>
        </w:rPr>
        <w:t>数据安全风险评估服务</w:t>
      </w:r>
    </w:p>
    <w:p>
      <w:pPr>
        <w:widowControl/>
        <w:spacing w:line="560" w:lineRule="exact"/>
        <w:ind w:firstLine="64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在服务期内对2个重要业务系统开展1次</w:t>
      </w:r>
      <w:r>
        <w:rPr>
          <w:rFonts w:hint="eastAsia" w:ascii="仿宋_GB2312" w:hAnsi="仿宋_GB2312" w:eastAsia="仿宋_GB2312" w:cs="仿宋_GB2312"/>
          <w:color w:val="auto"/>
          <w:sz w:val="32"/>
          <w:szCs w:val="32"/>
          <w:highlight w:val="none"/>
          <w:lang w:bidi="ar"/>
        </w:rPr>
        <w:t>数据安全风险评估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主要目的在于掌握数据安全总体状况，发现数据安全隐患，并提出数据安全管理和技术防护措施建议，以提升数据安全防攻击、防破坏、防窃取、防泄露、防滥用能力</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为制定有效的数据保护策略提供有力支持。</w:t>
      </w:r>
    </w:p>
    <w:p>
      <w:pPr>
        <w:widowControl/>
        <w:spacing w:line="560" w:lineRule="exact"/>
        <w:ind w:firstLine="64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服务完成后输出《数据安全风险评估报告》2份。</w:t>
      </w:r>
    </w:p>
    <w:p>
      <w:pPr>
        <w:widowControl/>
        <w:numPr>
          <w:ilvl w:val="255"/>
          <w:numId w:val="0"/>
        </w:numPr>
        <w:spacing w:line="560" w:lineRule="exact"/>
        <w:ind w:firstLine="640"/>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val="en-US" w:eastAsia="zh-CN" w:bidi="ar"/>
        </w:rPr>
        <w:t>数据分类分级服务</w:t>
      </w:r>
    </w:p>
    <w:p>
      <w:pPr>
        <w:widowControl/>
        <w:numPr>
          <w:ilvl w:val="255"/>
          <w:numId w:val="0"/>
        </w:numPr>
        <w:spacing w:line="560" w:lineRule="exact"/>
        <w:ind w:firstLine="640"/>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在服务期内</w:t>
      </w:r>
      <w:r>
        <w:rPr>
          <w:rFonts w:hint="eastAsia" w:ascii="仿宋_GB2312" w:hAnsi="仿宋_GB2312" w:eastAsia="仿宋_GB2312" w:cs="仿宋_GB2312"/>
          <w:color w:val="auto"/>
          <w:sz w:val="32"/>
          <w:szCs w:val="32"/>
          <w:highlight w:val="none"/>
          <w:lang w:bidi="ar"/>
        </w:rPr>
        <w:t>对系统开展分类分级</w:t>
      </w:r>
      <w:r>
        <w:rPr>
          <w:rFonts w:hint="eastAsia" w:ascii="仿宋_GB2312" w:hAnsi="仿宋_GB2312" w:eastAsia="仿宋_GB2312" w:cs="仿宋_GB2312"/>
          <w:color w:val="auto"/>
          <w:sz w:val="32"/>
          <w:szCs w:val="32"/>
          <w:highlight w:val="none"/>
          <w:lang w:val="en-US" w:eastAsia="zh-CN" w:bidi="ar"/>
        </w:rPr>
        <w:t>检查</w:t>
      </w:r>
      <w:r>
        <w:rPr>
          <w:rFonts w:hint="eastAsia" w:ascii="仿宋_GB2312" w:hAnsi="仿宋_GB2312" w:eastAsia="仿宋_GB2312" w:cs="仿宋_GB2312"/>
          <w:color w:val="auto"/>
          <w:sz w:val="32"/>
          <w:szCs w:val="32"/>
          <w:highlight w:val="none"/>
          <w:lang w:bidi="ar"/>
        </w:rPr>
        <w:t>服务</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根据数据的属性或特征，</w:t>
      </w:r>
      <w:r>
        <w:rPr>
          <w:rFonts w:hint="eastAsia" w:ascii="仿宋_GB2312" w:hAnsi="仿宋_GB2312" w:eastAsia="仿宋_GB2312" w:cs="仿宋_GB2312"/>
          <w:color w:val="auto"/>
          <w:sz w:val="32"/>
          <w:szCs w:val="32"/>
          <w:highlight w:val="none"/>
          <w:lang w:val="en-US" w:eastAsia="zh-CN" w:bidi="ar"/>
        </w:rPr>
        <w:t>评估</w:t>
      </w:r>
      <w:r>
        <w:rPr>
          <w:rFonts w:hint="eastAsia" w:ascii="仿宋_GB2312" w:hAnsi="仿宋_GB2312" w:eastAsia="仿宋_GB2312" w:cs="仿宋_GB2312"/>
          <w:color w:val="auto"/>
          <w:sz w:val="32"/>
          <w:szCs w:val="32"/>
          <w:highlight w:val="none"/>
          <w:lang w:bidi="ar"/>
        </w:rPr>
        <w:t>其</w:t>
      </w:r>
      <w:r>
        <w:rPr>
          <w:rFonts w:hint="eastAsia" w:ascii="仿宋_GB2312" w:hAnsi="仿宋_GB2312" w:eastAsia="仿宋_GB2312" w:cs="仿宋_GB2312"/>
          <w:color w:val="auto"/>
          <w:sz w:val="32"/>
          <w:szCs w:val="32"/>
          <w:highlight w:val="none"/>
          <w:lang w:val="en-US" w:eastAsia="zh-CN" w:bidi="ar"/>
        </w:rPr>
        <w:t>分类分级</w:t>
      </w:r>
      <w:r>
        <w:rPr>
          <w:rFonts w:hint="eastAsia" w:ascii="仿宋_GB2312" w:hAnsi="仿宋_GB2312" w:eastAsia="仿宋_GB2312" w:cs="仿宋_GB2312"/>
          <w:color w:val="auto"/>
          <w:sz w:val="32"/>
          <w:szCs w:val="32"/>
          <w:highlight w:val="none"/>
          <w:lang w:bidi="ar"/>
        </w:rPr>
        <w:t>原则和方法</w:t>
      </w:r>
      <w:r>
        <w:rPr>
          <w:rFonts w:hint="eastAsia" w:ascii="仿宋_GB2312" w:hAnsi="仿宋_GB2312" w:eastAsia="仿宋_GB2312" w:cs="仿宋_GB2312"/>
          <w:color w:val="auto"/>
          <w:sz w:val="32"/>
          <w:szCs w:val="32"/>
          <w:highlight w:val="none"/>
          <w:lang w:val="en-US" w:eastAsia="zh-CN" w:bidi="ar"/>
        </w:rPr>
        <w:t>的科学性、准确性</w:t>
      </w:r>
      <w:r>
        <w:rPr>
          <w:rFonts w:hint="eastAsia" w:ascii="仿宋_GB2312" w:hAnsi="仿宋_GB2312" w:eastAsia="仿宋_GB2312" w:cs="仿宋_GB2312"/>
          <w:color w:val="auto"/>
          <w:sz w:val="32"/>
          <w:szCs w:val="32"/>
          <w:highlight w:val="none"/>
          <w:lang w:bidi="ar"/>
        </w:rPr>
        <w:t>，需要全面分析评估所涉系统的数据资产</w:t>
      </w:r>
      <w:r>
        <w:rPr>
          <w:rFonts w:hint="eastAsia" w:ascii="仿宋_GB2312" w:hAnsi="仿宋_GB2312" w:eastAsia="仿宋_GB2312" w:cs="仿宋_GB2312"/>
          <w:color w:val="auto"/>
          <w:sz w:val="32"/>
          <w:szCs w:val="32"/>
          <w:highlight w:val="none"/>
          <w:lang w:eastAsia="zh-CN" w:bidi="ar"/>
        </w:rPr>
        <w:t>。</w:t>
      </w:r>
    </w:p>
    <w:p>
      <w:pPr>
        <w:widowControl/>
        <w:numPr>
          <w:ilvl w:val="255"/>
          <w:numId w:val="0"/>
        </w:numPr>
        <w:spacing w:line="560" w:lineRule="exact"/>
        <w:ind w:firstLine="64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服务完成后输出</w:t>
      </w:r>
      <w:r>
        <w:rPr>
          <w:rFonts w:hint="eastAsia" w:ascii="仿宋_GB2312" w:hAnsi="仿宋_GB2312" w:eastAsia="仿宋_GB2312" w:cs="仿宋_GB2312"/>
          <w:color w:val="auto"/>
          <w:sz w:val="32"/>
          <w:szCs w:val="32"/>
          <w:highlight w:val="none"/>
          <w:lang w:eastAsia="zh-CN" w:bidi="ar"/>
        </w:rPr>
        <w:t>差距分析</w:t>
      </w:r>
      <w:r>
        <w:rPr>
          <w:rFonts w:hint="eastAsia" w:ascii="仿宋_GB2312" w:hAnsi="仿宋_GB2312" w:eastAsia="仿宋_GB2312" w:cs="仿宋_GB2312"/>
          <w:color w:val="auto"/>
          <w:sz w:val="32"/>
          <w:szCs w:val="32"/>
          <w:highlight w:val="none"/>
          <w:lang w:val="en-US" w:eastAsia="zh-CN" w:bidi="ar"/>
        </w:rPr>
        <w:t>评估报告</w:t>
      </w:r>
      <w:r>
        <w:rPr>
          <w:rFonts w:hint="eastAsia" w:ascii="仿宋_GB2312" w:hAnsi="仿宋_GB2312" w:eastAsia="仿宋_GB2312" w:cs="仿宋_GB2312"/>
          <w:color w:val="auto"/>
          <w:sz w:val="32"/>
          <w:szCs w:val="32"/>
          <w:highlight w:val="none"/>
          <w:lang w:bidi="ar"/>
        </w:rPr>
        <w:t>1份。</w:t>
      </w:r>
    </w:p>
    <w:p>
      <w:pPr>
        <w:spacing w:line="560" w:lineRule="exact"/>
        <w:ind w:firstLine="320" w:firstLineChars="100"/>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三、供应商资格要求</w:t>
      </w:r>
    </w:p>
    <w:p>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lang w:bidi="ar"/>
        </w:rPr>
        <w:t>（一）满足《中华人民共和国政府采购法》第二十二条规定（须提供具有独立承担民事责任能力的法人或其他组织的营业执照或法人证书等证明材料复印件或扫描件加盖投标人公章）。如果是分支机构参与投标，还须同时提供其具有独立法人资格的主体出具的有效授权书及</w:t>
      </w:r>
      <w:r>
        <w:rPr>
          <w:rFonts w:hint="eastAsia" w:ascii="仿宋_GB2312" w:hAnsi="仿宋_GB2312" w:eastAsia="仿宋_GB2312" w:cs="仿宋_GB2312"/>
          <w:color w:val="auto"/>
          <w:sz w:val="32"/>
          <w:szCs w:val="32"/>
          <w:highlight w:val="none"/>
          <w:lang w:val="en-US" w:eastAsia="zh-CN" w:bidi="ar"/>
        </w:rPr>
        <w:t>其所属集团（或总公司）</w:t>
      </w:r>
      <w:r>
        <w:rPr>
          <w:rFonts w:hint="eastAsia" w:ascii="仿宋_GB2312" w:hAnsi="仿宋_GB2312" w:eastAsia="仿宋_GB2312" w:cs="仿宋_GB2312"/>
          <w:color w:val="auto"/>
          <w:sz w:val="32"/>
          <w:szCs w:val="32"/>
          <w:highlight w:val="none"/>
          <w:lang w:bidi="ar"/>
        </w:rPr>
        <w:t>的营业执照等证明材料复印件或扫描件。</w:t>
      </w:r>
    </w:p>
    <w:p>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（三）供应商须具备履行合同所必须的专业服务能力；</w:t>
      </w:r>
    </w:p>
    <w:p>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四</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本项目不接受联合体</w:t>
      </w:r>
      <w:r>
        <w:rPr>
          <w:rFonts w:hint="eastAsia" w:ascii="仿宋_GB2312" w:hAnsi="仿宋_GB2312" w:eastAsia="仿宋_GB2312" w:cs="仿宋_GB2312"/>
          <w:color w:val="auto"/>
          <w:sz w:val="32"/>
          <w:szCs w:val="32"/>
          <w:highlight w:val="none"/>
          <w:lang w:val="en-US" w:eastAsia="zh-CN"/>
        </w:rPr>
        <w:t>投标，不允许分包、转包。</w:t>
      </w:r>
    </w:p>
    <w:p>
      <w:pPr>
        <w:numPr>
          <w:ilvl w:val="255"/>
          <w:numId w:val="0"/>
        </w:numPr>
        <w:spacing w:line="560" w:lineRule="exact"/>
        <w:ind w:firstLine="640" w:firstLineChars="200"/>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四、评标方法</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本项目采用综合评分法，</w:t>
      </w:r>
      <w:r>
        <w:rPr>
          <w:rFonts w:hint="eastAsia" w:ascii="仿宋_GB2312" w:hAnsi="仿宋_GB2312" w:eastAsia="仿宋_GB2312" w:cs="仿宋_GB2312"/>
          <w:color w:val="auto"/>
          <w:sz w:val="32"/>
          <w:szCs w:val="32"/>
          <w:highlight w:val="none"/>
          <w:lang w:val="en-US" w:eastAsia="zh-CN" w:bidi="ar"/>
        </w:rPr>
        <w:t>在</w:t>
      </w:r>
      <w:r>
        <w:rPr>
          <w:rFonts w:hint="eastAsia" w:ascii="仿宋_GB2312" w:hAnsi="仿宋_GB2312" w:eastAsia="仿宋_GB2312" w:cs="仿宋_GB2312"/>
          <w:color w:val="auto"/>
          <w:sz w:val="32"/>
          <w:szCs w:val="32"/>
          <w:highlight w:val="none"/>
          <w:lang w:bidi="ar"/>
        </w:rPr>
        <w:t>投标文件满足</w:t>
      </w:r>
      <w:r>
        <w:rPr>
          <w:rFonts w:hint="eastAsia" w:ascii="仿宋_GB2312" w:hAnsi="仿宋_GB2312" w:eastAsia="仿宋_GB2312" w:cs="仿宋_GB2312"/>
          <w:color w:val="auto"/>
          <w:sz w:val="32"/>
          <w:szCs w:val="32"/>
          <w:highlight w:val="none"/>
          <w:lang w:val="en-US" w:eastAsia="zh-CN" w:bidi="ar"/>
        </w:rPr>
        <w:t>采购</w:t>
      </w:r>
      <w:r>
        <w:rPr>
          <w:rFonts w:hint="eastAsia" w:ascii="仿宋_GB2312" w:hAnsi="仿宋_GB2312" w:eastAsia="仿宋_GB2312" w:cs="仿宋_GB2312"/>
          <w:color w:val="auto"/>
          <w:sz w:val="32"/>
          <w:szCs w:val="32"/>
          <w:highlight w:val="none"/>
          <w:lang w:bidi="ar"/>
        </w:rPr>
        <w:t>文件全部实质性要求，且按照评审因素的量化指标评审得分最高的投标人为中标候选人的评标方法。</w:t>
      </w:r>
    </w:p>
    <w:tbl>
      <w:tblPr>
        <w:tblStyle w:val="14"/>
        <w:tblpPr w:leftFromText="180" w:rightFromText="180" w:vertAnchor="text" w:horzAnchor="page" w:tblpX="1794" w:tblpY="55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2611"/>
        <w:gridCol w:w="735"/>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773" w:type="dxa"/>
            <w:gridSpan w:val="3"/>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评分项</w:t>
            </w:r>
          </w:p>
        </w:tc>
        <w:tc>
          <w:tcPr>
            <w:tcW w:w="4322"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3773" w:type="dxa"/>
            <w:gridSpan w:val="3"/>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价格</w:t>
            </w:r>
          </w:p>
        </w:tc>
        <w:tc>
          <w:tcPr>
            <w:tcW w:w="4322"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1</w:t>
            </w:r>
            <w:r>
              <w:rPr>
                <w:rFonts w:hint="eastAsia" w:asciiTheme="minorEastAsia" w:hAnsiTheme="minorEastAsia" w:eastAsiaTheme="minorEastAsia" w:cstheme="minorEastAsia"/>
                <w:b/>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8095" w:type="dxa"/>
            <w:gridSpan w:val="4"/>
            <w:vAlign w:val="center"/>
          </w:tcPr>
          <w:p>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投标报价价格分=（评标基准价/投标报价）×</w:t>
            </w:r>
            <w:r>
              <w:rPr>
                <w:rFonts w:hint="eastAsia" w:asciiTheme="minorEastAsia" w:hAnsiTheme="minorEastAsia" w:eastAsiaTheme="minorEastAsia" w:cstheme="minorEastAsia"/>
                <w:color w:val="auto"/>
                <w:szCs w:val="21"/>
                <w:highlight w:val="none"/>
                <w:lang w:val="en-US" w:eastAsia="zh-CN"/>
              </w:rPr>
              <w:t>10</w:t>
            </w:r>
          </w:p>
          <w:p>
            <w:pPr>
              <w:spacing w:line="24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2"/>
                <w:sz w:val="21"/>
                <w:szCs w:val="21"/>
                <w:highlight w:val="none"/>
              </w:rPr>
              <w:t>采用低价优先法计算，即满足</w:t>
            </w:r>
            <w:r>
              <w:rPr>
                <w:rFonts w:hint="eastAsia" w:asciiTheme="minorEastAsia" w:hAnsiTheme="minorEastAsia" w:eastAsiaTheme="minorEastAsia" w:cstheme="minorEastAsia"/>
                <w:color w:val="auto"/>
                <w:kern w:val="2"/>
                <w:sz w:val="21"/>
                <w:szCs w:val="21"/>
                <w:highlight w:val="none"/>
                <w:lang w:val="en-US" w:eastAsia="zh-CN"/>
              </w:rPr>
              <w:t>采购</w:t>
            </w:r>
            <w:r>
              <w:rPr>
                <w:rFonts w:hint="eastAsia" w:asciiTheme="minorEastAsia" w:hAnsiTheme="minorEastAsia" w:eastAsiaTheme="minorEastAsia" w:cstheme="minorEastAsia"/>
                <w:color w:val="auto"/>
                <w:kern w:val="2"/>
                <w:sz w:val="21"/>
                <w:szCs w:val="21"/>
                <w:highlight w:val="none"/>
              </w:rPr>
              <w:t>文件要求且投标价格最低的投标报价为评标基准价，其价格分为满分</w:t>
            </w:r>
            <w:r>
              <w:rPr>
                <w:rFonts w:hint="eastAsia" w:asciiTheme="minorEastAsia" w:hAnsiTheme="minorEastAsia" w:eastAsiaTheme="minorEastAsia" w:cstheme="minorEastAsia"/>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3773" w:type="dxa"/>
            <w:gridSpan w:val="3"/>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技术部分</w:t>
            </w:r>
          </w:p>
        </w:tc>
        <w:tc>
          <w:tcPr>
            <w:tcW w:w="4322"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3</w:t>
            </w:r>
            <w:r>
              <w:rPr>
                <w:rFonts w:hint="eastAsia" w:asciiTheme="minorEastAsia" w:hAnsiTheme="minorEastAsia" w:eastAsiaTheme="minorEastAsia" w:cstheme="minorEastAsia"/>
                <w:b/>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restart"/>
            <w:vAlign w:val="center"/>
          </w:tcPr>
          <w:p>
            <w:pPr>
              <w:spacing w:line="440" w:lineRule="exact"/>
              <w:jc w:val="center"/>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611"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735"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c>
          <w:tcPr>
            <w:tcW w:w="4322"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611" w:type="dxa"/>
            <w:vAlign w:val="center"/>
          </w:tcPr>
          <w:p>
            <w:pPr>
              <w:spacing w:line="440" w:lineRule="exact"/>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w:t>
            </w:r>
            <w:r>
              <w:rPr>
                <w:rFonts w:hint="eastAsia" w:asciiTheme="minorEastAsia" w:hAnsiTheme="minorEastAsia" w:eastAsiaTheme="minorEastAsia" w:cstheme="minorEastAsia"/>
                <w:color w:val="auto"/>
                <w:szCs w:val="21"/>
                <w:highlight w:val="none"/>
                <w:lang w:val="en-US" w:eastAsia="zh-CN"/>
              </w:rPr>
              <w:t>网络及信息安全运营服务方案</w:t>
            </w:r>
            <w:r>
              <w:rPr>
                <w:rFonts w:hint="eastAsia" w:asciiTheme="minorEastAsia" w:hAnsiTheme="minorEastAsia" w:eastAsiaTheme="minorEastAsia" w:cstheme="minorEastAsia"/>
                <w:color w:val="auto"/>
                <w:szCs w:val="21"/>
                <w:highlight w:val="none"/>
              </w:rPr>
              <w:t>设计能力</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考察</w:t>
            </w:r>
          </w:p>
        </w:tc>
        <w:tc>
          <w:tcPr>
            <w:tcW w:w="735" w:type="dxa"/>
            <w:vAlign w:val="center"/>
          </w:tcPr>
          <w:p>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4322" w:type="dxa"/>
            <w:vAlign w:val="center"/>
          </w:tcPr>
          <w:p>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bookmarkStart w:id="0" w:name="_Hlk185950366"/>
            <w:r>
              <w:rPr>
                <w:rFonts w:hint="eastAsia" w:asciiTheme="minorEastAsia" w:hAnsiTheme="minorEastAsia" w:eastAsiaTheme="minorEastAsia" w:cstheme="minorEastAsia"/>
                <w:color w:val="auto"/>
                <w:szCs w:val="21"/>
                <w:highlight w:val="none"/>
              </w:rPr>
              <w:t>投标人针对本项目的背景、需求、业务理解和目标分析正确，提出的初步实施方案可行、合理、可操作性强进行横行打分。</w:t>
            </w:r>
            <w:bookmarkEnd w:id="0"/>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（1）项目理解清晰，分析到位，实施方案安全有效、可操作性强。得</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分；</w:t>
            </w:r>
          </w:p>
          <w:p>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（2）项目理解较清晰，分析较到位，实施方案安全有效、可操作性较强。得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p>
          <w:p>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（3）项目理解一般，分析一般，实施方案安全有效、可操作一般。得1-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p>
          <w:p>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方案无针对性、无可操作性，评审为差，不</w:t>
            </w:r>
            <w:r>
              <w:rPr>
                <w:rFonts w:hint="eastAsia" w:asciiTheme="minorEastAsia" w:hAnsiTheme="minorEastAsia" w:eastAsiaTheme="minorEastAsia" w:cstheme="minorEastAsia"/>
                <w:color w:val="auto"/>
                <w:szCs w:val="21"/>
                <w:highlight w:val="none"/>
                <w:lang w:val="en-US" w:eastAsia="zh-CN"/>
              </w:rPr>
              <w:t>得</w:t>
            </w:r>
            <w:r>
              <w:rPr>
                <w:rFonts w:hint="eastAsia" w:asciiTheme="minorEastAsia" w:hAnsiTheme="minorEastAsia" w:eastAsiaTheme="minorEastAsia" w:cstheme="minor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pPr>
              <w:spacing w:line="440" w:lineRule="exact"/>
              <w:jc w:val="center"/>
              <w:outlineLvl w:val="2"/>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611" w:type="dxa"/>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w:t>
            </w:r>
            <w:r>
              <w:rPr>
                <w:rFonts w:hint="eastAsia" w:asciiTheme="minorEastAsia" w:hAnsiTheme="minorEastAsia" w:eastAsiaTheme="minorEastAsia" w:cstheme="minorEastAsia"/>
                <w:color w:val="auto"/>
                <w:szCs w:val="21"/>
                <w:highlight w:val="none"/>
                <w:lang w:val="en-US" w:eastAsia="zh-CN"/>
              </w:rPr>
              <w:t>数据安全技术服务方案</w:t>
            </w:r>
            <w:r>
              <w:rPr>
                <w:rFonts w:hint="eastAsia" w:asciiTheme="minorEastAsia" w:hAnsiTheme="minorEastAsia" w:eastAsiaTheme="minorEastAsia" w:cstheme="minorEastAsia"/>
                <w:color w:val="auto"/>
                <w:szCs w:val="21"/>
                <w:highlight w:val="none"/>
              </w:rPr>
              <w:t>设计能力</w:t>
            </w:r>
            <w:r>
              <w:rPr>
                <w:rFonts w:hint="eastAsia" w:asciiTheme="minorEastAsia" w:hAnsiTheme="minorEastAsia" w:eastAsiaTheme="minorEastAsia" w:cstheme="minorEastAsia"/>
                <w:color w:val="auto"/>
                <w:szCs w:val="21"/>
                <w:highlight w:val="none"/>
                <w:lang w:val="en-US" w:eastAsia="zh-CN"/>
              </w:rPr>
              <w:t>进行</w:t>
            </w:r>
            <w:r>
              <w:rPr>
                <w:rFonts w:hint="eastAsia" w:asciiTheme="minorEastAsia" w:hAnsiTheme="minorEastAsia" w:eastAsiaTheme="minorEastAsia" w:cstheme="minorEastAsia"/>
                <w:color w:val="auto"/>
                <w:szCs w:val="21"/>
                <w:highlight w:val="none"/>
              </w:rPr>
              <w:t>考察</w:t>
            </w:r>
          </w:p>
        </w:tc>
        <w:tc>
          <w:tcPr>
            <w:tcW w:w="735" w:type="dxa"/>
            <w:vAlign w:val="center"/>
          </w:tcPr>
          <w:p>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4322" w:type="dxa"/>
            <w:vAlign w:val="center"/>
          </w:tcPr>
          <w:p>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投标人针对本项目的背景、需求、业务理解和目标分析正确，提出的初步实施方案可行、合理、可操作性强进行横行打分。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（1）项目理解清晰，分析到位，实施方案安全有效、可操作性强。得</w:t>
            </w: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分；</w:t>
            </w:r>
          </w:p>
          <w:p>
            <w:pPr>
              <w:widowControl/>
              <w:spacing w:line="240" w:lineRule="auto"/>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（2）项目理解较清晰，分析较到位，实施方案安全有效、可操作性较强。得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p>
          <w:p>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（3）项目理解一般，分析一般，实施方案安全有效、可操作一般。得1-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p>
          <w:p>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方案无针对性、无可操作性，评审为差，不</w:t>
            </w:r>
            <w:r>
              <w:rPr>
                <w:rFonts w:hint="eastAsia" w:asciiTheme="minorEastAsia" w:hAnsiTheme="minorEastAsia" w:eastAsiaTheme="minorEastAsia" w:cstheme="minorEastAsia"/>
                <w:color w:val="auto"/>
                <w:szCs w:val="21"/>
                <w:highlight w:val="none"/>
                <w:lang w:val="en-US" w:eastAsia="zh-CN"/>
              </w:rPr>
              <w:t>得</w:t>
            </w:r>
            <w:r>
              <w:rPr>
                <w:rFonts w:hint="eastAsia" w:asciiTheme="minorEastAsia" w:hAnsiTheme="minorEastAsia" w:eastAsiaTheme="minorEastAsia" w:cstheme="minorEastAsia"/>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3773" w:type="dxa"/>
            <w:gridSpan w:val="3"/>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商务部分</w:t>
            </w:r>
          </w:p>
        </w:tc>
        <w:tc>
          <w:tcPr>
            <w:tcW w:w="4322" w:type="dxa"/>
            <w:vAlign w:val="center"/>
          </w:tcPr>
          <w:p>
            <w:pPr>
              <w:spacing w:line="44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restart"/>
            <w:vAlign w:val="center"/>
          </w:tcPr>
          <w:p>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611"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735"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c>
          <w:tcPr>
            <w:tcW w:w="4322" w:type="dxa"/>
            <w:vAlign w:val="center"/>
          </w:tcPr>
          <w:p>
            <w:pPr>
              <w:spacing w:line="44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611" w:type="dxa"/>
            <w:vAlign w:val="center"/>
          </w:tcPr>
          <w:p>
            <w:pPr>
              <w:spacing w:line="24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同类</w:t>
            </w:r>
            <w:r>
              <w:rPr>
                <w:rFonts w:hint="eastAsia" w:asciiTheme="minorEastAsia" w:hAnsiTheme="minorEastAsia" w:eastAsiaTheme="minorEastAsia" w:cstheme="minorEastAsia"/>
                <w:color w:val="auto"/>
                <w:szCs w:val="21"/>
                <w:highlight w:val="none"/>
              </w:rPr>
              <w:t>经验</w:t>
            </w:r>
          </w:p>
        </w:tc>
        <w:tc>
          <w:tcPr>
            <w:tcW w:w="735" w:type="dxa"/>
            <w:vAlign w:val="center"/>
          </w:tcPr>
          <w:p>
            <w:pPr>
              <w:spacing w:line="24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4</w:t>
            </w:r>
          </w:p>
        </w:tc>
        <w:tc>
          <w:tcPr>
            <w:tcW w:w="4322" w:type="dxa"/>
            <w:vAlign w:val="center"/>
          </w:tcPr>
          <w:p>
            <w:pPr>
              <w:spacing w:line="24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（一）评分内容：</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提供自2022年1月1日至本项目投标截止之日（以合同签订日期为准）的信息（网络）安全服务类业绩，每提供一个有效业绩得2分，本项得分最高得4分。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（二）评分依据：</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提供合同关键页（至少包括项目名称页、签字盖章页、合同采购内容页）。原件备查，未按要求提供或提供不清晰导致专家无法判断不得分。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611" w:type="dxa"/>
            <w:vAlign w:val="center"/>
          </w:tcPr>
          <w:p>
            <w:pPr>
              <w:widowControl/>
              <w:wordWrap w:val="0"/>
              <w:jc w:val="cente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拟安排的项目负责人情况（仅限一人）</w:t>
            </w:r>
          </w:p>
        </w:tc>
        <w:tc>
          <w:tcPr>
            <w:tcW w:w="735" w:type="dxa"/>
            <w:vAlign w:val="center"/>
          </w:tcPr>
          <w:p>
            <w:pPr>
              <w:widowControl/>
              <w:wordWrap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6</w:t>
            </w:r>
          </w:p>
        </w:tc>
        <w:tc>
          <w:tcPr>
            <w:tcW w:w="4322" w:type="dxa"/>
            <w:vAlign w:val="top"/>
          </w:tcPr>
          <w:p>
            <w:pPr>
              <w:keepNext w:val="0"/>
              <w:keepLines w:val="0"/>
              <w:widowControl/>
              <w:numPr>
                <w:ilvl w:val="0"/>
                <w:numId w:val="6"/>
              </w:numPr>
              <w:suppressLineNumbers w:val="0"/>
              <w:jc w:val="left"/>
              <w:textAlignment w:val="top"/>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rPr>
              <w:t>评分内容：</w:t>
            </w:r>
          </w:p>
          <w:p>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拟安排项目负责人为投标单位员工，具有计算机类研究生或以上学历且具有承担党政机关或事业单位数据安全和网络安全类项目负责人工作经验，否则本项不得分，在此基础上进行如下评分：</w:t>
            </w:r>
          </w:p>
          <w:p>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i w:val="0"/>
                <w:iCs w:val="0"/>
                <w:color w:val="auto"/>
                <w:kern w:val="0"/>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SA"/>
              </w:rPr>
              <w:t>（1）具有政府部门或事业单位颁发的信息系统项目管理师证书，得5分；</w:t>
            </w:r>
          </w:p>
          <w:p>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（2）具有政府部门或事业单位颁发的系统规划与管理师证书，得5分；</w:t>
            </w:r>
          </w:p>
          <w:p>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（3）具有</w:t>
            </w:r>
            <w:r>
              <w:rPr>
                <w:rFonts w:hint="eastAsia" w:ascii="宋体" w:hAnsi="宋体" w:eastAsia="宋体" w:cs="宋体"/>
                <w:b w:val="0"/>
                <w:bCs w:val="0"/>
                <w:color w:val="auto"/>
                <w:kern w:val="0"/>
                <w:sz w:val="21"/>
                <w:szCs w:val="21"/>
                <w:highlight w:val="none"/>
                <w:u w:val="none"/>
                <w:lang w:val="en-US" w:eastAsia="zh-CN"/>
              </w:rPr>
              <w:t>政府部门或事业单位颁发</w:t>
            </w:r>
            <w:r>
              <w:rPr>
                <w:rFonts w:hint="eastAsia" w:ascii="宋体" w:hAnsi="宋体" w:eastAsia="宋体" w:cs="宋体"/>
                <w:b w:val="0"/>
                <w:bCs w:val="0"/>
                <w:i w:val="0"/>
                <w:iCs w:val="0"/>
                <w:color w:val="auto"/>
                <w:kern w:val="0"/>
                <w:sz w:val="21"/>
                <w:szCs w:val="21"/>
                <w:highlight w:val="none"/>
                <w:u w:val="none"/>
                <w:lang w:val="en-US" w:eastAsia="zh-CN"/>
              </w:rPr>
              <w:t>的注册信息安全工程师证书（CISE），得3分；</w:t>
            </w:r>
          </w:p>
          <w:p>
            <w:pPr>
              <w:pStyle w:val="7"/>
              <w:keepNext w:val="0"/>
              <w:keepLines w:val="0"/>
              <w:widowControl/>
              <w:numPr>
                <w:ilvl w:val="-1"/>
                <w:numId w:val="0"/>
              </w:numPr>
              <w:suppressLineNumbers w:val="0"/>
              <w:spacing w:line="240" w:lineRule="auto"/>
              <w:ind w:leftChars="0"/>
              <w:jc w:val="left"/>
              <w:textAlignment w:val="top"/>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（4）具有</w:t>
            </w:r>
            <w:r>
              <w:rPr>
                <w:rFonts w:hint="eastAsia" w:ascii="宋体" w:hAnsi="宋体" w:eastAsia="宋体" w:cs="宋体"/>
                <w:b w:val="0"/>
                <w:bCs w:val="0"/>
                <w:color w:val="auto"/>
                <w:kern w:val="0"/>
                <w:sz w:val="21"/>
                <w:szCs w:val="21"/>
                <w:highlight w:val="none"/>
                <w:u w:val="none"/>
                <w:lang w:val="en-US" w:eastAsia="zh-CN"/>
              </w:rPr>
              <w:t>政府部门或事业单位</w:t>
            </w:r>
            <w:r>
              <w:rPr>
                <w:rFonts w:hint="eastAsia" w:ascii="宋体" w:hAnsi="宋体" w:eastAsia="宋体" w:cs="宋体"/>
                <w:b w:val="0"/>
                <w:bCs w:val="0"/>
                <w:i w:val="0"/>
                <w:iCs w:val="0"/>
                <w:color w:val="auto"/>
                <w:kern w:val="0"/>
                <w:sz w:val="21"/>
                <w:szCs w:val="21"/>
                <w:highlight w:val="none"/>
                <w:u w:val="none"/>
                <w:lang w:val="en-US" w:eastAsia="zh-CN"/>
              </w:rPr>
              <w:t>颁发的信息安全保障人员认证专业级证书（安全运维），得3分；</w:t>
            </w:r>
          </w:p>
          <w:p>
            <w:pPr>
              <w:keepNext w:val="0"/>
              <w:keepLines w:val="0"/>
              <w:widowControl/>
              <w:numPr>
                <w:ilvl w:val="0"/>
                <w:numId w:val="0"/>
              </w:numPr>
              <w:suppressLineNumbers w:val="0"/>
              <w:ind w:leftChars="0"/>
              <w:jc w:val="left"/>
              <w:textAlignment w:val="top"/>
              <w:rPr>
                <w:rFonts w:hint="eastAsia" w:ascii="宋体" w:hAnsi="宋体" w:eastAsia="宋体" w:cs="宋体"/>
                <w:color w:val="auto"/>
                <w:kern w:val="0"/>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本项累计得分，最高得1</w:t>
            </w:r>
            <w:r>
              <w:rPr>
                <w:rFonts w:hint="eastAsia" w:ascii="宋体" w:hAnsi="宋体" w:cs="宋体"/>
                <w:i w:val="0"/>
                <w:iCs w:val="0"/>
                <w:color w:val="auto"/>
                <w:kern w:val="0"/>
                <w:sz w:val="21"/>
                <w:szCs w:val="21"/>
                <w:highlight w:val="none"/>
                <w:u w:val="none"/>
                <w:lang w:val="en-US" w:eastAsia="zh-CN"/>
              </w:rPr>
              <w:t>6</w:t>
            </w:r>
            <w:r>
              <w:rPr>
                <w:rFonts w:hint="eastAsia" w:ascii="宋体" w:hAnsi="宋体" w:eastAsia="宋体" w:cs="宋体"/>
                <w:i w:val="0"/>
                <w:iCs w:val="0"/>
                <w:color w:val="auto"/>
                <w:kern w:val="0"/>
                <w:sz w:val="21"/>
                <w:szCs w:val="21"/>
                <w:highlight w:val="none"/>
                <w:u w:val="none"/>
                <w:lang w:val="en-US" w:eastAsia="zh-CN"/>
              </w:rPr>
              <w:t>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（二）评分依据：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color w:val="auto"/>
                <w:kern w:val="0"/>
                <w:szCs w:val="21"/>
                <w:highlight w:val="none"/>
                <w:u w:val="none"/>
              </w:rPr>
              <w:t>1、社保证明：</w:t>
            </w:r>
            <w:r>
              <w:rPr>
                <w:rFonts w:hint="eastAsia" w:ascii="宋体" w:hAnsi="宋体" w:eastAsia="宋体" w:cs="宋体"/>
                <w:color w:val="auto"/>
                <w:kern w:val="0"/>
                <w:sz w:val="21"/>
                <w:szCs w:val="21"/>
                <w:highlight w:val="none"/>
              </w:rPr>
              <w:t>拟安排的项目负责人</w:t>
            </w:r>
            <w:r>
              <w:rPr>
                <w:rFonts w:hint="eastAsia" w:ascii="宋体" w:hAnsi="宋体" w:eastAsia="宋体" w:cs="宋体"/>
                <w:color w:val="auto"/>
                <w:kern w:val="0"/>
                <w:szCs w:val="21"/>
                <w:highlight w:val="none"/>
                <w:u w:val="none"/>
              </w:rPr>
              <w:t>需提供通过投标人缴纳的投标截止日近</w:t>
            </w:r>
            <w:r>
              <w:rPr>
                <w:rFonts w:hint="eastAsia" w:ascii="宋体" w:hAnsi="宋体" w:eastAsia="宋体" w:cs="宋体"/>
                <w:color w:val="auto"/>
                <w:kern w:val="0"/>
                <w:szCs w:val="21"/>
                <w:highlight w:val="none"/>
                <w:u w:val="none"/>
                <w:lang w:val="en-US" w:eastAsia="zh-CN"/>
              </w:rPr>
              <w:t>三</w:t>
            </w:r>
            <w:r>
              <w:rPr>
                <w:rFonts w:hint="eastAsia" w:ascii="宋体" w:hAnsi="宋体" w:eastAsia="宋体" w:cs="宋体"/>
                <w:color w:val="auto"/>
                <w:kern w:val="0"/>
                <w:szCs w:val="21"/>
                <w:highlight w:val="none"/>
                <w:u w:val="none"/>
              </w:rPr>
              <w:t>个月</w:t>
            </w:r>
            <w:r>
              <w:rPr>
                <w:rFonts w:hint="eastAsia" w:ascii="宋体" w:hAnsi="宋体" w:eastAsia="宋体" w:cs="宋体"/>
                <w:color w:val="auto"/>
                <w:kern w:val="0"/>
                <w:szCs w:val="21"/>
                <w:highlight w:val="none"/>
                <w:u w:val="none"/>
                <w:lang w:val="en-US" w:eastAsia="zh-CN"/>
              </w:rPr>
              <w:t>中任意一个月</w:t>
            </w:r>
            <w:r>
              <w:rPr>
                <w:rFonts w:hint="eastAsia" w:ascii="宋体" w:hAnsi="宋体" w:eastAsia="宋体" w:cs="宋体"/>
                <w:color w:val="auto"/>
                <w:kern w:val="0"/>
                <w:szCs w:val="21"/>
                <w:highlight w:val="none"/>
                <w:u w:val="none"/>
              </w:rPr>
              <w:t>的社保证明。</w:t>
            </w:r>
          </w:p>
          <w:p>
            <w:pPr>
              <w:widowControl/>
              <w:wordWrap w:val="0"/>
              <w:jc w:val="left"/>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color w:val="auto"/>
                <w:kern w:val="0"/>
                <w:szCs w:val="21"/>
                <w:highlight w:val="none"/>
                <w:u w:val="none"/>
                <w:lang w:val="en-US" w:eastAsia="zh-CN"/>
              </w:rPr>
              <w:t>2</w:t>
            </w:r>
            <w:r>
              <w:rPr>
                <w:rFonts w:hint="eastAsia" w:ascii="宋体" w:hAnsi="宋体" w:eastAsia="宋体" w:cs="宋体"/>
                <w:color w:val="auto"/>
                <w:kern w:val="0"/>
                <w:szCs w:val="21"/>
                <w:highlight w:val="none"/>
                <w:u w:val="none"/>
              </w:rPr>
              <w:t>、以上资料均要求提供扫描件（或官方网站截图），原件备查。评分中出现无证明资料或专家无法凭所提供资料判断是否得分的情况，一律作不得分处理。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pPr>
              <w:spacing w:line="440" w:lineRule="exact"/>
              <w:jc w:val="center"/>
              <w:outlineLvl w:val="0"/>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2611" w:type="dxa"/>
            <w:vAlign w:val="center"/>
          </w:tcPr>
          <w:p>
            <w:pPr>
              <w:widowControl/>
              <w:wordWrap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拟安排的项目团队成员</w:t>
            </w:r>
          </w:p>
        </w:tc>
        <w:tc>
          <w:tcPr>
            <w:tcW w:w="735" w:type="dxa"/>
            <w:vAlign w:val="center"/>
          </w:tcPr>
          <w:p>
            <w:pPr>
              <w:widowControl/>
              <w:wordWrap w:val="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w:t>
            </w:r>
          </w:p>
        </w:tc>
        <w:tc>
          <w:tcPr>
            <w:tcW w:w="4322" w:type="dxa"/>
            <w:vAlign w:val="top"/>
          </w:tcPr>
          <w:p>
            <w:pPr>
              <w:keepNext w:val="0"/>
              <w:keepLines w:val="0"/>
              <w:widowControl/>
              <w:numPr>
                <w:ilvl w:val="255"/>
                <w:numId w:val="0"/>
              </w:numPr>
              <w:suppressLineNumbers w:val="0"/>
              <w:jc w:val="left"/>
              <w:textAlignment w:val="top"/>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（一）评分内容：</w:t>
            </w:r>
          </w:p>
          <w:p>
            <w:pPr>
              <w:keepNext w:val="0"/>
              <w:keepLines w:val="0"/>
              <w:widowControl/>
              <w:numPr>
                <w:ilvl w:val="255"/>
                <w:numId w:val="0"/>
              </w:numPr>
              <w:suppressLineNumbers w:val="0"/>
              <w:jc w:val="left"/>
              <w:textAlignment w:val="top"/>
              <w:rPr>
                <w:rFonts w:hint="eastAsia" w:asciiTheme="minorEastAsia" w:hAnsiTheme="minorEastAsia" w:eastAsiaTheme="minorEastAsia" w:cstheme="minorEastAsia"/>
                <w:i w:val="0"/>
                <w:iCs w:val="0"/>
                <w:color w:val="auto"/>
                <w:kern w:val="0"/>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拟安排的项目主要团队成员（主要技术人员）（项目负责人除外）为投标单位自有员工且不得少于3人，</w:t>
            </w:r>
            <w:r>
              <w:rPr>
                <w:rFonts w:hint="eastAsia"/>
                <w:color w:val="auto"/>
              </w:rPr>
              <w:t>且均需具有</w:t>
            </w:r>
            <w:r>
              <w:rPr>
                <w:rFonts w:hint="eastAsia"/>
                <w:color w:val="auto"/>
                <w:lang w:val="en-US" w:eastAsia="zh-CN"/>
              </w:rPr>
              <w:t>大专</w:t>
            </w:r>
            <w:r>
              <w:rPr>
                <w:rFonts w:hint="eastAsia"/>
                <w:color w:val="auto"/>
              </w:rPr>
              <w:t>（或以上）学历</w:t>
            </w:r>
            <w:r>
              <w:rPr>
                <w:rFonts w:hint="eastAsia"/>
                <w:color w:val="auto"/>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rPr>
              <w:t>在此基础上进行以下评审：</w:t>
            </w:r>
          </w:p>
          <w:p>
            <w:pPr>
              <w:widowControl/>
              <w:numPr>
                <w:ilvl w:val="255"/>
                <w:numId w:val="0"/>
              </w:numPr>
              <w:jc w:val="left"/>
              <w:textAlignment w:val="top"/>
              <w:rPr>
                <w:rFonts w:hint="eastAsia" w:asciiTheme="minorEastAsia" w:hAnsiTheme="minorEastAsia" w:eastAsiaTheme="minorEastAsia" w:cstheme="minorEastAsia"/>
                <w:b w:val="0"/>
                <w:bCs w:val="0"/>
                <w:color w:val="auto"/>
                <w:kern w:val="0"/>
                <w:szCs w:val="21"/>
                <w:highlight w:val="none"/>
                <w:u w:val="none"/>
                <w:lang w:val="en-US" w:eastAsia="zh-CN"/>
              </w:rPr>
            </w:pPr>
            <w:r>
              <w:rPr>
                <w:rFonts w:hint="eastAsia" w:asciiTheme="minorEastAsia" w:hAnsiTheme="minorEastAsia" w:eastAsiaTheme="minorEastAsia" w:cstheme="minorEastAsia"/>
                <w:b w:val="0"/>
                <w:bCs w:val="0"/>
                <w:color w:val="auto"/>
                <w:kern w:val="0"/>
                <w:szCs w:val="21"/>
                <w:highlight w:val="none"/>
                <w:u w:val="none"/>
              </w:rPr>
              <w:t>（1）具有</w:t>
            </w:r>
            <w:r>
              <w:rPr>
                <w:rFonts w:hint="eastAsia" w:asciiTheme="minorEastAsia" w:hAnsiTheme="minorEastAsia" w:eastAsiaTheme="minorEastAsia" w:cstheme="minorEastAsia"/>
                <w:b w:val="0"/>
                <w:bCs w:val="0"/>
                <w:color w:val="auto"/>
                <w:kern w:val="0"/>
                <w:sz w:val="21"/>
                <w:szCs w:val="21"/>
                <w:highlight w:val="none"/>
                <w:u w:val="none"/>
                <w:lang w:val="en-US" w:eastAsia="zh-CN"/>
              </w:rPr>
              <w:t>人力资源和社会保障部门</w:t>
            </w:r>
            <w:r>
              <w:rPr>
                <w:rFonts w:hint="eastAsia" w:asciiTheme="minorEastAsia" w:hAnsiTheme="minorEastAsia" w:eastAsiaTheme="minorEastAsia" w:cstheme="minorEastAsia"/>
                <w:b w:val="0"/>
                <w:bCs w:val="0"/>
                <w:color w:val="auto"/>
                <w:kern w:val="0"/>
                <w:szCs w:val="21"/>
                <w:highlight w:val="none"/>
                <w:u w:val="none"/>
                <w:lang w:val="en-US" w:eastAsia="zh-CN"/>
              </w:rPr>
              <w:t>颁发的数据库系统工程师证书的得3分；</w:t>
            </w:r>
          </w:p>
          <w:p>
            <w:pPr>
              <w:widowControl/>
              <w:numPr>
                <w:ilvl w:val="255"/>
                <w:numId w:val="0"/>
              </w:numPr>
              <w:jc w:val="left"/>
              <w:textAlignment w:val="top"/>
              <w:rPr>
                <w:rFonts w:hint="eastAsia" w:asciiTheme="minorEastAsia" w:hAnsiTheme="minorEastAsia" w:eastAsiaTheme="minorEastAsia" w:cstheme="minorEastAsia"/>
                <w:b w:val="0"/>
                <w:bCs w:val="0"/>
                <w:color w:val="auto"/>
                <w:kern w:val="0"/>
                <w:sz w:val="21"/>
                <w:szCs w:val="21"/>
                <w:highlight w:val="none"/>
                <w:u w:val="none"/>
              </w:rPr>
            </w:pPr>
            <w:r>
              <w:rPr>
                <w:rFonts w:hint="eastAsia" w:asciiTheme="minorEastAsia" w:hAnsiTheme="minorEastAsia" w:eastAsiaTheme="minorEastAsia" w:cstheme="minorEastAsia"/>
                <w:b w:val="0"/>
                <w:bCs w:val="0"/>
                <w:color w:val="auto"/>
                <w:kern w:val="0"/>
                <w:sz w:val="21"/>
                <w:szCs w:val="21"/>
                <w:highlight w:val="none"/>
                <w:u w:val="none"/>
              </w:rPr>
              <w:t>（</w:t>
            </w:r>
            <w:r>
              <w:rPr>
                <w:rFonts w:hint="eastAsia" w:asciiTheme="minorEastAsia" w:hAnsiTheme="minorEastAsia" w:eastAsiaTheme="minorEastAsia" w:cstheme="minorEastAsia"/>
                <w:b w:val="0"/>
                <w:bCs w:val="0"/>
                <w:color w:val="auto"/>
                <w:kern w:val="0"/>
                <w:sz w:val="21"/>
                <w:szCs w:val="21"/>
                <w:highlight w:val="none"/>
                <w:u w:val="none"/>
                <w:lang w:val="en-US" w:eastAsia="zh-CN"/>
              </w:rPr>
              <w:t>2</w:t>
            </w:r>
            <w:r>
              <w:rPr>
                <w:rFonts w:hint="eastAsia" w:asciiTheme="minorEastAsia" w:hAnsiTheme="minorEastAsia" w:eastAsiaTheme="minorEastAsia" w:cstheme="minorEastAsia"/>
                <w:b w:val="0"/>
                <w:bCs w:val="0"/>
                <w:color w:val="auto"/>
                <w:kern w:val="0"/>
                <w:sz w:val="21"/>
                <w:szCs w:val="21"/>
                <w:highlight w:val="none"/>
                <w:u w:val="none"/>
              </w:rPr>
              <w:t>）具有</w:t>
            </w:r>
            <w:r>
              <w:rPr>
                <w:rFonts w:hint="eastAsia" w:asciiTheme="minorEastAsia" w:hAnsiTheme="minorEastAsia" w:eastAsiaTheme="minorEastAsia" w:cstheme="minorEastAsia"/>
                <w:b w:val="0"/>
                <w:bCs w:val="0"/>
                <w:color w:val="auto"/>
                <w:kern w:val="0"/>
                <w:sz w:val="21"/>
                <w:szCs w:val="21"/>
                <w:highlight w:val="none"/>
                <w:u w:val="none"/>
                <w:lang w:val="en-US" w:eastAsia="zh-CN"/>
              </w:rPr>
              <w:t>人力资源和社会保障部门颁发的网络规划设计师</w:t>
            </w:r>
            <w:r>
              <w:rPr>
                <w:rFonts w:hint="eastAsia" w:asciiTheme="minorEastAsia" w:hAnsiTheme="minorEastAsia" w:eastAsiaTheme="minorEastAsia" w:cstheme="minorEastAsia"/>
                <w:b w:val="0"/>
                <w:bCs w:val="0"/>
                <w:color w:val="auto"/>
                <w:kern w:val="0"/>
                <w:szCs w:val="21"/>
                <w:highlight w:val="none"/>
                <w:u w:val="none"/>
                <w:lang w:val="en-US" w:eastAsia="zh-CN"/>
              </w:rPr>
              <w:t>证书得3分，中级</w:t>
            </w:r>
            <w:r>
              <w:rPr>
                <w:rFonts w:hint="eastAsia" w:asciiTheme="minorEastAsia" w:hAnsiTheme="minorEastAsia" w:eastAsiaTheme="minorEastAsia" w:cstheme="minorEastAsia"/>
                <w:b w:val="0"/>
                <w:bCs w:val="0"/>
                <w:color w:val="auto"/>
                <w:kern w:val="0"/>
                <w:sz w:val="21"/>
                <w:szCs w:val="21"/>
                <w:highlight w:val="none"/>
                <w:u w:val="none"/>
              </w:rPr>
              <w:t>网络工程师</w:t>
            </w:r>
            <w:r>
              <w:rPr>
                <w:rFonts w:hint="eastAsia" w:asciiTheme="minorEastAsia" w:hAnsiTheme="minorEastAsia" w:eastAsiaTheme="minorEastAsia" w:cstheme="minorEastAsia"/>
                <w:b w:val="0"/>
                <w:bCs w:val="0"/>
                <w:color w:val="auto"/>
                <w:kern w:val="0"/>
                <w:sz w:val="21"/>
                <w:szCs w:val="21"/>
                <w:highlight w:val="none"/>
                <w:u w:val="none"/>
                <w:lang w:val="en-US" w:eastAsia="zh-CN"/>
              </w:rPr>
              <w:t>证书</w:t>
            </w:r>
            <w:r>
              <w:rPr>
                <w:rFonts w:hint="eastAsia" w:asciiTheme="minorEastAsia" w:hAnsiTheme="minorEastAsia" w:eastAsiaTheme="minorEastAsia" w:cstheme="minorEastAsia"/>
                <w:b w:val="0"/>
                <w:bCs w:val="0"/>
                <w:color w:val="auto"/>
                <w:kern w:val="0"/>
                <w:sz w:val="21"/>
                <w:szCs w:val="21"/>
                <w:highlight w:val="none"/>
                <w:u w:val="none"/>
              </w:rPr>
              <w:t>得</w:t>
            </w:r>
            <w:r>
              <w:rPr>
                <w:rFonts w:hint="eastAsia" w:asciiTheme="minorEastAsia" w:hAnsiTheme="minorEastAsia" w:eastAsiaTheme="minorEastAsia" w:cstheme="minorEastAsia"/>
                <w:b w:val="0"/>
                <w:bCs w:val="0"/>
                <w:color w:val="auto"/>
                <w:kern w:val="0"/>
                <w:sz w:val="21"/>
                <w:szCs w:val="21"/>
                <w:highlight w:val="none"/>
                <w:u w:val="none"/>
                <w:lang w:val="en-US" w:eastAsia="zh-CN"/>
              </w:rPr>
              <w:t>2</w:t>
            </w:r>
            <w:r>
              <w:rPr>
                <w:rFonts w:hint="eastAsia" w:asciiTheme="minorEastAsia" w:hAnsiTheme="minorEastAsia" w:eastAsiaTheme="minorEastAsia" w:cstheme="minorEastAsia"/>
                <w:b w:val="0"/>
                <w:bCs w:val="0"/>
                <w:color w:val="auto"/>
                <w:kern w:val="0"/>
                <w:sz w:val="21"/>
                <w:szCs w:val="21"/>
                <w:highlight w:val="none"/>
                <w:u w:val="none"/>
              </w:rPr>
              <w:t>分</w:t>
            </w:r>
            <w:r>
              <w:rPr>
                <w:rFonts w:hint="eastAsia" w:asciiTheme="minorEastAsia" w:hAnsiTheme="minorEastAsia" w:eastAsiaTheme="minorEastAsia" w:cstheme="minorEastAsia"/>
                <w:b w:val="0"/>
                <w:bCs w:val="0"/>
                <w:color w:val="auto"/>
                <w:kern w:val="0"/>
                <w:sz w:val="21"/>
                <w:szCs w:val="21"/>
                <w:highlight w:val="none"/>
                <w:u w:val="none"/>
                <w:lang w:eastAsia="zh-CN"/>
              </w:rPr>
              <w:t>，</w:t>
            </w:r>
            <w:r>
              <w:rPr>
                <w:rFonts w:hint="eastAsia" w:asciiTheme="minorEastAsia" w:hAnsiTheme="minorEastAsia" w:eastAsiaTheme="minorEastAsia" w:cstheme="minorEastAsia"/>
                <w:b w:val="0"/>
                <w:bCs w:val="0"/>
                <w:color w:val="auto"/>
                <w:kern w:val="0"/>
                <w:sz w:val="21"/>
                <w:szCs w:val="21"/>
                <w:highlight w:val="none"/>
                <w:u w:val="none"/>
                <w:lang w:val="en-US" w:eastAsia="zh-CN"/>
              </w:rPr>
              <w:t>本项最高得3分</w:t>
            </w:r>
            <w:r>
              <w:rPr>
                <w:rFonts w:hint="eastAsia" w:asciiTheme="minorEastAsia" w:hAnsiTheme="minorEastAsia" w:eastAsiaTheme="minorEastAsia" w:cstheme="minorEastAsia"/>
                <w:b w:val="0"/>
                <w:bCs w:val="0"/>
                <w:color w:val="auto"/>
                <w:kern w:val="0"/>
                <w:sz w:val="21"/>
                <w:szCs w:val="21"/>
                <w:highlight w:val="none"/>
                <w:u w:val="none"/>
              </w:rPr>
              <w:t>；</w:t>
            </w:r>
          </w:p>
          <w:p>
            <w:pPr>
              <w:widowControl/>
              <w:numPr>
                <w:ilvl w:val="255"/>
                <w:numId w:val="0"/>
              </w:numPr>
              <w:jc w:val="left"/>
              <w:textAlignment w:val="top"/>
              <w:rPr>
                <w:rFonts w:hint="eastAsia" w:asciiTheme="minorEastAsia" w:hAnsiTheme="minorEastAsia" w:eastAsiaTheme="minorEastAsia" w:cstheme="minorEastAsia"/>
                <w:b w:val="0"/>
                <w:bCs w:val="0"/>
                <w:color w:val="auto"/>
                <w:kern w:val="0"/>
                <w:sz w:val="21"/>
                <w:szCs w:val="21"/>
                <w:highlight w:val="none"/>
                <w:u w:val="none"/>
              </w:rPr>
            </w:pPr>
            <w:r>
              <w:rPr>
                <w:rFonts w:hint="eastAsia" w:asciiTheme="minorEastAsia" w:hAnsiTheme="minorEastAsia" w:eastAsiaTheme="minorEastAsia" w:cstheme="minorEastAsia"/>
                <w:b w:val="0"/>
                <w:bCs w:val="0"/>
                <w:color w:val="auto"/>
                <w:kern w:val="0"/>
                <w:sz w:val="21"/>
                <w:szCs w:val="21"/>
                <w:highlight w:val="none"/>
                <w:u w:val="none"/>
              </w:rPr>
              <w:t>（</w:t>
            </w:r>
            <w:r>
              <w:rPr>
                <w:rFonts w:hint="eastAsia" w:asciiTheme="minorEastAsia" w:hAnsiTheme="minorEastAsia" w:eastAsiaTheme="minorEastAsia" w:cstheme="minorEastAsia"/>
                <w:b w:val="0"/>
                <w:bCs w:val="0"/>
                <w:color w:val="auto"/>
                <w:kern w:val="0"/>
                <w:sz w:val="21"/>
                <w:szCs w:val="21"/>
                <w:highlight w:val="none"/>
                <w:u w:val="none"/>
                <w:lang w:val="en-US" w:eastAsia="zh-CN"/>
              </w:rPr>
              <w:t>3</w:t>
            </w:r>
            <w:r>
              <w:rPr>
                <w:rFonts w:hint="eastAsia" w:asciiTheme="minorEastAsia" w:hAnsiTheme="minorEastAsia" w:eastAsiaTheme="minorEastAsia" w:cstheme="minorEastAsia"/>
                <w:b w:val="0"/>
                <w:bCs w:val="0"/>
                <w:color w:val="auto"/>
                <w:kern w:val="0"/>
                <w:sz w:val="21"/>
                <w:szCs w:val="21"/>
                <w:highlight w:val="none"/>
                <w:u w:val="none"/>
              </w:rPr>
              <w:t>）具有</w:t>
            </w:r>
            <w:r>
              <w:rPr>
                <w:rFonts w:hint="eastAsia" w:asciiTheme="minorEastAsia" w:hAnsiTheme="minorEastAsia" w:eastAsiaTheme="minorEastAsia" w:cstheme="minorEastAsia"/>
                <w:b w:val="0"/>
                <w:bCs w:val="0"/>
                <w:color w:val="auto"/>
                <w:kern w:val="0"/>
                <w:sz w:val="21"/>
                <w:szCs w:val="21"/>
                <w:highlight w:val="none"/>
                <w:u w:val="none"/>
                <w:lang w:val="en-US" w:eastAsia="zh-CN"/>
              </w:rPr>
              <w:t>人力资源和社会保障部门颁发的</w:t>
            </w:r>
            <w:r>
              <w:rPr>
                <w:rFonts w:hint="eastAsia" w:asciiTheme="minorEastAsia" w:hAnsiTheme="minorEastAsia" w:eastAsiaTheme="minorEastAsia" w:cstheme="minorEastAsia"/>
                <w:b w:val="0"/>
                <w:bCs w:val="0"/>
                <w:color w:val="auto"/>
                <w:kern w:val="0"/>
                <w:sz w:val="21"/>
                <w:szCs w:val="21"/>
                <w:highlight w:val="none"/>
                <w:u w:val="none"/>
              </w:rPr>
              <w:t>信息安全工程师</w:t>
            </w:r>
            <w:r>
              <w:rPr>
                <w:rFonts w:hint="eastAsia" w:asciiTheme="minorEastAsia" w:hAnsiTheme="minorEastAsia" w:eastAsiaTheme="minorEastAsia" w:cstheme="minorEastAsia"/>
                <w:b w:val="0"/>
                <w:bCs w:val="0"/>
                <w:color w:val="auto"/>
                <w:kern w:val="0"/>
                <w:sz w:val="21"/>
                <w:szCs w:val="21"/>
                <w:highlight w:val="none"/>
                <w:u w:val="none"/>
                <w:lang w:val="en-US" w:eastAsia="zh-CN"/>
              </w:rPr>
              <w:t>证书</w:t>
            </w:r>
            <w:r>
              <w:rPr>
                <w:rFonts w:hint="eastAsia" w:asciiTheme="minorEastAsia" w:hAnsiTheme="minorEastAsia" w:eastAsiaTheme="minorEastAsia" w:cstheme="minorEastAsia"/>
                <w:b w:val="0"/>
                <w:bCs w:val="0"/>
                <w:color w:val="auto"/>
                <w:kern w:val="0"/>
                <w:sz w:val="21"/>
                <w:szCs w:val="21"/>
                <w:highlight w:val="none"/>
                <w:u w:val="none"/>
              </w:rPr>
              <w:t>，得</w:t>
            </w:r>
            <w:r>
              <w:rPr>
                <w:rFonts w:hint="eastAsia" w:asciiTheme="minorEastAsia" w:hAnsiTheme="minorEastAsia" w:eastAsiaTheme="minorEastAsia" w:cstheme="minorEastAsia"/>
                <w:b w:val="0"/>
                <w:bCs w:val="0"/>
                <w:color w:val="auto"/>
                <w:kern w:val="0"/>
                <w:sz w:val="21"/>
                <w:szCs w:val="21"/>
                <w:highlight w:val="none"/>
                <w:u w:val="none"/>
                <w:lang w:val="en-US" w:eastAsia="zh-CN"/>
              </w:rPr>
              <w:t>3</w:t>
            </w:r>
            <w:r>
              <w:rPr>
                <w:rFonts w:hint="eastAsia" w:asciiTheme="minorEastAsia" w:hAnsiTheme="minorEastAsia" w:eastAsiaTheme="minorEastAsia" w:cstheme="minorEastAsia"/>
                <w:b w:val="0"/>
                <w:bCs w:val="0"/>
                <w:color w:val="auto"/>
                <w:kern w:val="0"/>
                <w:sz w:val="21"/>
                <w:szCs w:val="21"/>
                <w:highlight w:val="none"/>
                <w:u w:val="none"/>
              </w:rPr>
              <w:t>分；</w:t>
            </w:r>
          </w:p>
          <w:p>
            <w:pPr>
              <w:widowControl/>
              <w:numPr>
                <w:ilvl w:val="255"/>
                <w:numId w:val="0"/>
              </w:numPr>
              <w:jc w:val="left"/>
              <w:textAlignment w:val="top"/>
              <w:rPr>
                <w:rFonts w:hint="eastAsia" w:asciiTheme="minorEastAsia" w:hAnsiTheme="minorEastAsia" w:eastAsiaTheme="minorEastAsia" w:cstheme="minorEastAsia"/>
                <w:b w:val="0"/>
                <w:bCs w:val="0"/>
                <w:color w:val="auto"/>
                <w:kern w:val="0"/>
                <w:sz w:val="21"/>
                <w:szCs w:val="21"/>
                <w:highlight w:val="none"/>
                <w:u w:val="none"/>
              </w:rPr>
            </w:pPr>
            <w:r>
              <w:rPr>
                <w:rFonts w:hint="eastAsia" w:asciiTheme="minorEastAsia" w:hAnsiTheme="minorEastAsia" w:eastAsiaTheme="minorEastAsia" w:cstheme="minorEastAsia"/>
                <w:b w:val="0"/>
                <w:bCs w:val="0"/>
                <w:color w:val="auto"/>
                <w:kern w:val="0"/>
                <w:sz w:val="21"/>
                <w:szCs w:val="21"/>
                <w:highlight w:val="none"/>
                <w:u w:val="none"/>
              </w:rPr>
              <w:t>（</w:t>
            </w:r>
            <w:r>
              <w:rPr>
                <w:rFonts w:hint="eastAsia" w:asciiTheme="minorEastAsia" w:hAnsiTheme="minorEastAsia" w:eastAsiaTheme="minorEastAsia" w:cstheme="minorEastAsia"/>
                <w:b w:val="0"/>
                <w:bCs w:val="0"/>
                <w:color w:val="auto"/>
                <w:kern w:val="0"/>
                <w:sz w:val="21"/>
                <w:szCs w:val="21"/>
                <w:highlight w:val="none"/>
                <w:u w:val="none"/>
                <w:lang w:val="en-US" w:eastAsia="zh-CN"/>
              </w:rPr>
              <w:t>4</w:t>
            </w:r>
            <w:r>
              <w:rPr>
                <w:rFonts w:hint="eastAsia" w:asciiTheme="minorEastAsia" w:hAnsiTheme="minorEastAsia" w:eastAsiaTheme="minorEastAsia" w:cstheme="minorEastAsia"/>
                <w:b w:val="0"/>
                <w:bCs w:val="0"/>
                <w:color w:val="auto"/>
                <w:kern w:val="0"/>
                <w:sz w:val="21"/>
                <w:szCs w:val="21"/>
                <w:highlight w:val="none"/>
                <w:u w:val="none"/>
              </w:rPr>
              <w:t>）具有</w:t>
            </w:r>
            <w:r>
              <w:rPr>
                <w:rFonts w:hint="eastAsia" w:asciiTheme="minorEastAsia" w:hAnsiTheme="minorEastAsia" w:eastAsiaTheme="minorEastAsia" w:cstheme="minorEastAsia"/>
                <w:b w:val="0"/>
                <w:bCs w:val="0"/>
                <w:color w:val="auto"/>
                <w:kern w:val="0"/>
                <w:sz w:val="21"/>
                <w:szCs w:val="21"/>
                <w:highlight w:val="none"/>
                <w:u w:val="none"/>
                <w:lang w:val="en-US" w:eastAsia="zh-CN"/>
              </w:rPr>
              <w:t>人力资源和社会保障部门颁发的</w:t>
            </w:r>
            <w:r>
              <w:rPr>
                <w:rFonts w:hint="eastAsia" w:asciiTheme="minorEastAsia" w:hAnsiTheme="minorEastAsia" w:eastAsiaTheme="minorEastAsia" w:cstheme="minorEastAsia"/>
                <w:b w:val="0"/>
                <w:bCs w:val="0"/>
                <w:color w:val="auto"/>
                <w:kern w:val="0"/>
                <w:sz w:val="21"/>
                <w:szCs w:val="21"/>
                <w:highlight w:val="none"/>
                <w:u w:val="none"/>
              </w:rPr>
              <w:t>通信专业技术人员职业资格中级（或以上）证书</w:t>
            </w:r>
            <w:r>
              <w:rPr>
                <w:rFonts w:hint="eastAsia" w:asciiTheme="minorEastAsia" w:hAnsiTheme="minorEastAsia" w:eastAsiaTheme="minorEastAsia" w:cstheme="minorEastAsia"/>
                <w:b w:val="0"/>
                <w:bCs w:val="0"/>
                <w:color w:val="auto"/>
                <w:kern w:val="0"/>
                <w:sz w:val="21"/>
                <w:szCs w:val="21"/>
                <w:highlight w:val="none"/>
                <w:u w:val="none"/>
                <w:lang w:val="en-US" w:eastAsia="zh-CN"/>
              </w:rPr>
              <w:t>或</w:t>
            </w:r>
            <w:r>
              <w:rPr>
                <w:rFonts w:hint="eastAsia" w:asciiTheme="minorEastAsia" w:hAnsiTheme="minorEastAsia" w:eastAsiaTheme="minorEastAsia" w:cstheme="minorEastAsia"/>
                <w:b w:val="0"/>
                <w:bCs w:val="0"/>
                <w:color w:val="auto"/>
                <w:kern w:val="0"/>
                <w:sz w:val="21"/>
                <w:szCs w:val="21"/>
                <w:highlight w:val="none"/>
                <w:u w:val="none"/>
              </w:rPr>
              <w:t>通信技术工程师证书的，得</w:t>
            </w:r>
            <w:r>
              <w:rPr>
                <w:rFonts w:hint="eastAsia" w:asciiTheme="minorEastAsia" w:hAnsiTheme="minorEastAsia" w:eastAsiaTheme="minorEastAsia" w:cstheme="minorEastAsia"/>
                <w:b w:val="0"/>
                <w:bCs w:val="0"/>
                <w:color w:val="auto"/>
                <w:kern w:val="0"/>
                <w:sz w:val="21"/>
                <w:szCs w:val="21"/>
                <w:highlight w:val="none"/>
                <w:u w:val="none"/>
                <w:lang w:val="en-US" w:eastAsia="zh-CN"/>
              </w:rPr>
              <w:t>3</w:t>
            </w:r>
            <w:r>
              <w:rPr>
                <w:rFonts w:hint="eastAsia" w:asciiTheme="minorEastAsia" w:hAnsiTheme="minorEastAsia" w:eastAsiaTheme="minorEastAsia" w:cstheme="minorEastAsia"/>
                <w:b w:val="0"/>
                <w:bCs w:val="0"/>
                <w:color w:val="auto"/>
                <w:kern w:val="0"/>
                <w:sz w:val="21"/>
                <w:szCs w:val="21"/>
                <w:highlight w:val="none"/>
                <w:u w:val="none"/>
              </w:rPr>
              <w:t>分；</w:t>
            </w:r>
          </w:p>
          <w:p>
            <w:pPr>
              <w:widowControl/>
              <w:numPr>
                <w:ilvl w:val="255"/>
                <w:numId w:val="0"/>
              </w:numPr>
              <w:jc w:val="left"/>
              <w:textAlignment w:val="top"/>
              <w:rPr>
                <w:rFonts w:hint="eastAsia"/>
                <w:color w:val="auto"/>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（5）具有工信部教育与考试中心颁发的网络信息安全工程师（高级）证书，得3分</w:t>
            </w:r>
          </w:p>
          <w:p>
            <w:pPr>
              <w:rPr>
                <w:rFonts w:hint="eastAsia"/>
                <w:color w:val="auto"/>
                <w:lang w:val="en-US" w:eastAsia="zh-CN"/>
              </w:rPr>
            </w:pPr>
            <w:r>
              <w:rPr>
                <w:rFonts w:hint="eastAsia"/>
                <w:color w:val="auto"/>
              </w:rPr>
              <w:t>本小项最高得</w:t>
            </w:r>
            <w:r>
              <w:rPr>
                <w:rFonts w:hint="eastAsia"/>
                <w:color w:val="auto"/>
                <w:lang w:val="en-US" w:eastAsia="zh-CN"/>
              </w:rPr>
              <w:t>15</w:t>
            </w:r>
            <w:r>
              <w:rPr>
                <w:rFonts w:hint="eastAsia"/>
                <w:color w:val="auto"/>
              </w:rPr>
              <w:t>分。</w:t>
            </w:r>
          </w:p>
          <w:p>
            <w:pPr>
              <w:keepNext w:val="0"/>
              <w:keepLines w:val="0"/>
              <w:widowControl/>
              <w:numPr>
                <w:ilvl w:val="-1"/>
                <w:numId w:val="0"/>
              </w:numPr>
              <w:suppressLineNumbers w:val="0"/>
              <w:jc w:val="left"/>
              <w:textAlignment w:val="auto"/>
              <w:rPr>
                <w:rFonts w:hint="eastAsia" w:asciiTheme="minorEastAsia" w:hAnsiTheme="minorEastAsia" w:eastAsiaTheme="minorEastAsia" w:cstheme="minorEastAsia"/>
                <w:color w:val="auto"/>
                <w:kern w:val="0"/>
                <w:szCs w:val="21"/>
                <w:highlight w:val="none"/>
                <w:u w:val="none"/>
              </w:rPr>
            </w:pPr>
            <w:r>
              <w:rPr>
                <w:rFonts w:hint="eastAsia"/>
                <w:color w:val="auto"/>
                <w:lang w:val="en-US" w:eastAsia="zh-CN"/>
              </w:rPr>
              <w:t>注：同一成员提供多项证书的，只按其中两项计算得分，成员间重复提供同一项证书的只计算一次得分，按得分最优情况计分</w:t>
            </w:r>
            <w:r>
              <w:rPr>
                <w:rFonts w:hint="eastAsia" w:asciiTheme="minorEastAsia" w:hAnsiTheme="minorEastAsia" w:eastAsiaTheme="minorEastAsia" w:cstheme="minorEastAsia"/>
                <w:i w:val="0"/>
                <w:iCs w:val="0"/>
                <w:color w:val="auto"/>
                <w:kern w:val="0"/>
                <w:szCs w:val="21"/>
                <w:highlight w:val="none"/>
                <w:u w:val="none"/>
                <w:lang w:val="en-US" w:eastAsia="zh-CN"/>
              </w:rPr>
              <w:t>。</w:t>
            </w:r>
            <w:r>
              <w:rPr>
                <w:rFonts w:hint="eastAsia" w:asciiTheme="minorEastAsia" w:hAnsiTheme="minorEastAsia" w:eastAsiaTheme="minorEastAsia" w:cstheme="minorEastAsia"/>
                <w:i w:val="0"/>
                <w:iCs w:val="0"/>
                <w:color w:val="auto"/>
                <w:kern w:val="0"/>
                <w:szCs w:val="21"/>
                <w:highlight w:val="none"/>
                <w:u w:val="none"/>
                <w:lang w:val="en-US" w:eastAsia="zh-CN"/>
              </w:rPr>
              <w:br w:type="textWrapping"/>
            </w:r>
            <w:r>
              <w:rPr>
                <w:rFonts w:hint="eastAsia" w:asciiTheme="minorEastAsia" w:hAnsiTheme="minorEastAsia" w:eastAsiaTheme="minorEastAsia" w:cstheme="minorEastAsia"/>
                <w:i w:val="0"/>
                <w:iCs w:val="0"/>
                <w:color w:val="auto"/>
                <w:kern w:val="0"/>
                <w:szCs w:val="21"/>
                <w:highlight w:val="none"/>
                <w:u w:val="none"/>
                <w:lang w:val="en-US" w:eastAsia="zh-CN"/>
              </w:rPr>
              <w:t>（二）评分依据：</w:t>
            </w:r>
            <w:r>
              <w:rPr>
                <w:rFonts w:hint="eastAsia" w:asciiTheme="minorEastAsia" w:hAnsiTheme="minorEastAsia" w:eastAsiaTheme="minorEastAsia" w:cstheme="minorEastAsia"/>
                <w:i w:val="0"/>
                <w:iCs w:val="0"/>
                <w:color w:val="auto"/>
                <w:kern w:val="0"/>
                <w:szCs w:val="21"/>
                <w:highlight w:val="none"/>
                <w:u w:val="none"/>
                <w:lang w:val="en-US" w:eastAsia="zh-CN"/>
              </w:rPr>
              <w:br w:type="textWrapping"/>
            </w:r>
            <w:r>
              <w:rPr>
                <w:rFonts w:hint="eastAsia" w:asciiTheme="minorEastAsia" w:hAnsiTheme="minorEastAsia" w:eastAsiaTheme="minorEastAsia" w:cstheme="minorEastAsia"/>
                <w:color w:val="auto"/>
                <w:kern w:val="0"/>
                <w:szCs w:val="21"/>
                <w:highlight w:val="none"/>
                <w:u w:val="none"/>
              </w:rPr>
              <w:t>1、社保证明：</w:t>
            </w:r>
            <w:r>
              <w:rPr>
                <w:rFonts w:hint="eastAsia" w:asciiTheme="minorEastAsia" w:hAnsiTheme="minorEastAsia" w:eastAsiaTheme="minorEastAsia" w:cstheme="minorEastAsia"/>
                <w:color w:val="auto"/>
                <w:kern w:val="0"/>
                <w:sz w:val="21"/>
                <w:szCs w:val="21"/>
                <w:highlight w:val="none"/>
              </w:rPr>
              <w:t>拟安排的项目团队成员</w:t>
            </w:r>
            <w:r>
              <w:rPr>
                <w:rFonts w:hint="eastAsia" w:asciiTheme="minorEastAsia" w:hAnsiTheme="minorEastAsia" w:eastAsiaTheme="minorEastAsia" w:cstheme="minorEastAsia"/>
                <w:color w:val="auto"/>
                <w:kern w:val="0"/>
                <w:szCs w:val="21"/>
                <w:highlight w:val="none"/>
                <w:u w:val="none"/>
              </w:rPr>
              <w:t>需提供通过投标人缴纳的投标截止日近</w:t>
            </w:r>
            <w:r>
              <w:rPr>
                <w:rFonts w:hint="eastAsia" w:asciiTheme="minorEastAsia" w:hAnsiTheme="minorEastAsia" w:eastAsiaTheme="minorEastAsia" w:cstheme="minorEastAsia"/>
                <w:color w:val="auto"/>
                <w:kern w:val="0"/>
                <w:szCs w:val="21"/>
                <w:highlight w:val="none"/>
                <w:u w:val="none"/>
                <w:lang w:val="en-US" w:eastAsia="zh-CN"/>
              </w:rPr>
              <w:t>三</w:t>
            </w:r>
            <w:r>
              <w:rPr>
                <w:rFonts w:hint="eastAsia" w:asciiTheme="minorEastAsia" w:hAnsiTheme="minorEastAsia" w:eastAsiaTheme="minorEastAsia" w:cstheme="minorEastAsia"/>
                <w:color w:val="auto"/>
                <w:kern w:val="0"/>
                <w:szCs w:val="21"/>
                <w:highlight w:val="none"/>
                <w:u w:val="none"/>
              </w:rPr>
              <w:t>个月的</w:t>
            </w:r>
            <w:r>
              <w:rPr>
                <w:rFonts w:hint="eastAsia" w:asciiTheme="minorEastAsia" w:hAnsiTheme="minorEastAsia" w:eastAsiaTheme="minorEastAsia" w:cstheme="minorEastAsia"/>
                <w:color w:val="auto"/>
                <w:kern w:val="0"/>
                <w:szCs w:val="21"/>
                <w:highlight w:val="none"/>
                <w:u w:val="none"/>
                <w:lang w:val="en-US" w:eastAsia="zh-CN"/>
              </w:rPr>
              <w:t>任意一个月</w:t>
            </w:r>
            <w:r>
              <w:rPr>
                <w:rFonts w:hint="eastAsia" w:asciiTheme="minorEastAsia" w:hAnsiTheme="minorEastAsia" w:eastAsiaTheme="minorEastAsia" w:cstheme="minorEastAsia"/>
                <w:color w:val="auto"/>
                <w:kern w:val="0"/>
                <w:szCs w:val="21"/>
                <w:highlight w:val="none"/>
                <w:u w:val="none"/>
              </w:rPr>
              <w:t>社保证明。</w:t>
            </w:r>
          </w:p>
          <w:p>
            <w:pPr>
              <w:widowControl/>
              <w:wordWrap w:val="0"/>
              <w:jc w:val="left"/>
              <w:rPr>
                <w:rFonts w:hint="eastAsia" w:asciiTheme="minorEastAsia" w:hAnsiTheme="minorEastAsia" w:eastAsiaTheme="minorEastAsia" w:cstheme="minorEastAsia"/>
                <w:color w:val="auto"/>
                <w:kern w:val="0"/>
                <w:szCs w:val="21"/>
                <w:highlight w:val="none"/>
                <w:u w:val="none"/>
                <w:lang w:val="en-US" w:eastAsia="zh-CN"/>
              </w:rPr>
            </w:pPr>
            <w:r>
              <w:rPr>
                <w:rFonts w:hint="eastAsia" w:asciiTheme="minorEastAsia" w:hAnsiTheme="minorEastAsia" w:eastAsiaTheme="minorEastAsia" w:cstheme="minorEastAsia"/>
                <w:color w:val="auto"/>
                <w:kern w:val="0"/>
                <w:szCs w:val="21"/>
                <w:highlight w:val="none"/>
                <w:u w:val="none"/>
                <w:lang w:val="en-US" w:eastAsia="zh-CN"/>
              </w:rPr>
              <w:t>2</w:t>
            </w:r>
            <w:r>
              <w:rPr>
                <w:rFonts w:hint="eastAsia" w:asciiTheme="minorEastAsia" w:hAnsiTheme="minorEastAsia" w:eastAsiaTheme="minorEastAsia" w:cstheme="minorEastAsia"/>
                <w:color w:val="auto"/>
                <w:kern w:val="0"/>
                <w:szCs w:val="21"/>
                <w:highlight w:val="none"/>
                <w:u w:val="none"/>
              </w:rPr>
              <w:t>、以上资料均要求提供扫描件（或官方网站截图），原件备查。评分中出现无证明资料或专家无法凭所提供资料判断是否得分的情况，一律作不得分处理。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Merge w:val="continue"/>
            <w:vAlign w:val="center"/>
          </w:tcPr>
          <w:p>
            <w:pPr>
              <w:spacing w:line="440" w:lineRule="exact"/>
              <w:jc w:val="center"/>
              <w:outlineLvl w:val="2"/>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w:t>
            </w:r>
          </w:p>
        </w:tc>
        <w:tc>
          <w:tcPr>
            <w:tcW w:w="2611" w:type="dxa"/>
            <w:vAlign w:val="center"/>
          </w:tcPr>
          <w:p>
            <w:pPr>
              <w:widowControl/>
              <w:wordWrap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rPr>
              <w:t>投标人资格情况及通过相关认证情况</w:t>
            </w:r>
          </w:p>
        </w:tc>
        <w:tc>
          <w:tcPr>
            <w:tcW w:w="735" w:type="dxa"/>
            <w:vAlign w:val="center"/>
          </w:tcPr>
          <w:p>
            <w:pPr>
              <w:widowControl/>
              <w:wordWrap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4322" w:type="dxa"/>
            <w:vAlign w:val="top"/>
          </w:tcPr>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（一）评分内容：</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1.投标人具有知识产权合规管理体系认证证书，得3分；</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2.投标人具有标准化认证证书，得1</w:t>
            </w:r>
            <w:r>
              <w:rPr>
                <w:rFonts w:hint="eastAsia" w:ascii="宋体" w:hAnsi="宋体" w:cs="Times New Roman"/>
                <w:b w:val="0"/>
                <w:bCs w:val="0"/>
                <w:color w:val="auto"/>
                <w:sz w:val="21"/>
                <w:szCs w:val="21"/>
                <w:highlight w:val="none"/>
                <w:lang w:val="en-US" w:eastAsia="zh-CN"/>
              </w:rPr>
              <w:t>.</w:t>
            </w:r>
            <w:r>
              <w:rPr>
                <w:rFonts w:hint="eastAsia" w:ascii="宋体" w:hAnsi="宋体" w:eastAsia="宋体" w:cs="Times New Roman"/>
                <w:b w:val="0"/>
                <w:bCs w:val="0"/>
                <w:color w:val="auto"/>
                <w:sz w:val="21"/>
                <w:szCs w:val="21"/>
                <w:highlight w:val="none"/>
                <w:lang w:val="en-US" w:eastAsia="zh-CN"/>
              </w:rPr>
              <w:t>5分；</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3.投标人具有信息技术服务标准符合性证书，得1</w:t>
            </w:r>
            <w:r>
              <w:rPr>
                <w:rFonts w:hint="eastAsia" w:ascii="宋体" w:hAnsi="宋体" w:cs="Times New Roman"/>
                <w:b w:val="0"/>
                <w:bCs w:val="0"/>
                <w:color w:val="auto"/>
                <w:sz w:val="21"/>
                <w:szCs w:val="21"/>
                <w:highlight w:val="none"/>
                <w:lang w:val="en-US" w:eastAsia="zh-CN"/>
              </w:rPr>
              <w:t>.</w:t>
            </w:r>
            <w:r>
              <w:rPr>
                <w:rFonts w:hint="eastAsia" w:ascii="宋体" w:hAnsi="宋体" w:eastAsia="宋体" w:cs="Times New Roman"/>
                <w:b w:val="0"/>
                <w:bCs w:val="0"/>
                <w:color w:val="auto"/>
                <w:sz w:val="21"/>
                <w:szCs w:val="21"/>
                <w:highlight w:val="none"/>
                <w:lang w:val="en-US" w:eastAsia="zh-CN"/>
              </w:rPr>
              <w:t>5分；</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4.投标人具有信息安全服务资质认证证书，得1分；</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5.投标人具有数据管理能力成熟度等级证书，得3分。</w:t>
            </w:r>
          </w:p>
          <w:p>
            <w:pPr>
              <w:pStyle w:val="7"/>
              <w:spacing w:line="240" w:lineRule="auto"/>
              <w:rPr>
                <w:rFonts w:hint="default"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最高得10分。</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（二）评分依据：</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lang w:val="en-US" w:eastAsia="zh-CN"/>
              </w:rPr>
              <w:t>1、</w:t>
            </w:r>
            <w:r>
              <w:rPr>
                <w:rFonts w:hint="eastAsia" w:ascii="宋体" w:hAnsi="宋体" w:eastAsia="宋体" w:cs="Times New Roman"/>
                <w:b w:val="0"/>
                <w:bCs w:val="0"/>
                <w:color w:val="auto"/>
                <w:sz w:val="21"/>
                <w:szCs w:val="21"/>
                <w:highlight w:val="none"/>
              </w:rPr>
              <w:t>投标人须提供有效的证书</w:t>
            </w:r>
            <w:r>
              <w:rPr>
                <w:rFonts w:hint="eastAsia" w:ascii="宋体" w:hAnsi="宋体" w:eastAsia="宋体" w:cs="Times New Roman"/>
                <w:b w:val="0"/>
                <w:bCs w:val="0"/>
                <w:color w:val="auto"/>
                <w:sz w:val="21"/>
                <w:szCs w:val="21"/>
                <w:highlight w:val="none"/>
                <w:lang w:val="en-US" w:eastAsia="zh-CN"/>
              </w:rPr>
              <w:t>证明材料</w:t>
            </w:r>
            <w:r>
              <w:rPr>
                <w:rFonts w:hint="eastAsia" w:ascii="宋体" w:hAnsi="宋体" w:eastAsia="宋体" w:cs="Times New Roman"/>
                <w:b w:val="0"/>
                <w:bCs w:val="0"/>
                <w:color w:val="auto"/>
                <w:sz w:val="21"/>
                <w:szCs w:val="21"/>
                <w:highlight w:val="none"/>
              </w:rPr>
              <w:t>。</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rPr>
              <w:t>评分中出现无证明资料或专家无法凭所提供资料判断是否得分的情况，一律作不得分处理。</w:t>
            </w:r>
          </w:p>
          <w:p>
            <w:pPr>
              <w:pStyle w:val="7"/>
              <w:spacing w:line="240" w:lineRule="auto"/>
              <w:rPr>
                <w:rFonts w:hint="default" w:eastAsiaTheme="minorEastAsia"/>
                <w:color w:val="auto"/>
                <w:highlight w:val="none"/>
                <w:lang w:val="en-US" w:eastAsia="zh-CN"/>
              </w:rPr>
            </w:pPr>
            <w:r>
              <w:rPr>
                <w:rFonts w:hint="eastAsia" w:ascii="宋体" w:hAnsi="宋体" w:eastAsia="宋体" w:cs="Times New Roman"/>
                <w:b w:val="0"/>
                <w:bCs w:val="0"/>
                <w:color w:val="auto"/>
                <w:sz w:val="21"/>
                <w:szCs w:val="21"/>
                <w:highlight w:val="none"/>
                <w:lang w:val="en-US" w:eastAsia="zh-CN"/>
              </w:rPr>
              <w:t>3、投标人成立不足6个月，提供相关证明文件亦可得分。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7" w:type="dxa"/>
            <w:vAlign w:val="center"/>
          </w:tcPr>
          <w:p>
            <w:pPr>
              <w:spacing w:line="440" w:lineRule="exact"/>
              <w:jc w:val="center"/>
              <w:outlineLvl w:val="2"/>
              <w:rPr>
                <w:rFonts w:hint="eastAsia" w:asciiTheme="minorEastAsia" w:hAnsiTheme="minorEastAsia" w:eastAsiaTheme="minorEastAsia" w:cstheme="minorEastAsia"/>
                <w:color w:val="auto"/>
                <w:szCs w:val="21"/>
                <w:highlight w:val="none"/>
              </w:rPr>
            </w:pPr>
          </w:p>
        </w:tc>
        <w:tc>
          <w:tcPr>
            <w:tcW w:w="427" w:type="dxa"/>
            <w:vAlign w:val="center"/>
          </w:tcPr>
          <w:p>
            <w:pPr>
              <w:spacing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w:t>
            </w:r>
          </w:p>
        </w:tc>
        <w:tc>
          <w:tcPr>
            <w:tcW w:w="261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供应商自主知识产权产品（创新、设计）情况</w:t>
            </w:r>
          </w:p>
        </w:tc>
        <w:tc>
          <w:tcPr>
            <w:tcW w:w="73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rPr>
              <w:t>15</w:t>
            </w:r>
          </w:p>
        </w:tc>
        <w:tc>
          <w:tcPr>
            <w:tcW w:w="4322" w:type="dxa"/>
            <w:vAlign w:val="top"/>
          </w:tcPr>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（一）评分内容：</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1.具有</w:t>
            </w:r>
            <w:r>
              <w:rPr>
                <w:rFonts w:hint="eastAsia" w:ascii="宋体" w:hAnsi="宋体" w:eastAsia="宋体" w:cs="Times New Roman"/>
                <w:b w:val="0"/>
                <w:bCs w:val="0"/>
                <w:color w:val="auto"/>
                <w:sz w:val="21"/>
                <w:szCs w:val="21"/>
                <w:highlight w:val="none"/>
                <w:lang w:val="en-US" w:eastAsia="zh-CN"/>
              </w:rPr>
              <w:t>敏感数据</w:t>
            </w:r>
            <w:r>
              <w:rPr>
                <w:rFonts w:hint="eastAsia" w:ascii="宋体" w:hAnsi="宋体" w:eastAsia="宋体" w:cs="Times New Roman"/>
                <w:b w:val="0"/>
                <w:bCs w:val="0"/>
                <w:color w:val="auto"/>
                <w:sz w:val="21"/>
                <w:szCs w:val="21"/>
                <w:highlight w:val="none"/>
              </w:rPr>
              <w:t>类计算机软件著作权登记证书</w:t>
            </w:r>
            <w:r>
              <w:rPr>
                <w:rFonts w:hint="eastAsia" w:ascii="宋体" w:hAnsi="宋体" w:eastAsia="宋体" w:cs="Times New Roman"/>
                <w:b w:val="0"/>
                <w:bCs w:val="0"/>
                <w:color w:val="auto"/>
                <w:sz w:val="21"/>
                <w:szCs w:val="21"/>
                <w:highlight w:val="none"/>
                <w:lang w:val="en-US" w:eastAsia="zh-CN"/>
              </w:rPr>
              <w:t>或专利证书</w:t>
            </w:r>
            <w:r>
              <w:rPr>
                <w:rFonts w:hint="eastAsia" w:ascii="宋体" w:hAnsi="宋体" w:eastAsia="宋体" w:cs="Times New Roman"/>
                <w:b w:val="0"/>
                <w:bCs w:val="0"/>
                <w:color w:val="auto"/>
                <w:sz w:val="21"/>
                <w:szCs w:val="21"/>
                <w:highlight w:val="none"/>
              </w:rPr>
              <w:t>，得</w:t>
            </w:r>
            <w:r>
              <w:rPr>
                <w:rFonts w:hint="eastAsia" w:ascii="宋体" w:hAnsi="宋体" w:cs="Times New Roman"/>
                <w:b w:val="0"/>
                <w:bCs w:val="0"/>
                <w:color w:val="auto"/>
                <w:sz w:val="21"/>
                <w:szCs w:val="21"/>
                <w:highlight w:val="none"/>
                <w:lang w:val="en-US" w:eastAsia="zh-CN"/>
              </w:rPr>
              <w:t>3.5</w:t>
            </w:r>
            <w:r>
              <w:rPr>
                <w:rFonts w:hint="eastAsia" w:ascii="宋体" w:hAnsi="宋体" w:eastAsia="宋体" w:cs="Times New Roman"/>
                <w:b w:val="0"/>
                <w:bCs w:val="0"/>
                <w:color w:val="auto"/>
                <w:sz w:val="21"/>
                <w:szCs w:val="21"/>
                <w:highlight w:val="none"/>
              </w:rPr>
              <w:t>分；</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2.具有业务监控系统类计算机软件著作权登记证书</w:t>
            </w:r>
            <w:r>
              <w:rPr>
                <w:rFonts w:hint="eastAsia" w:ascii="宋体" w:hAnsi="宋体" w:eastAsia="宋体" w:cs="Times New Roman"/>
                <w:b w:val="0"/>
                <w:bCs w:val="0"/>
                <w:color w:val="auto"/>
                <w:sz w:val="21"/>
                <w:szCs w:val="21"/>
                <w:highlight w:val="none"/>
                <w:lang w:val="en-US" w:eastAsia="zh-CN"/>
              </w:rPr>
              <w:t>或专利证书</w:t>
            </w:r>
            <w:r>
              <w:rPr>
                <w:rFonts w:hint="eastAsia" w:ascii="宋体" w:hAnsi="宋体" w:eastAsia="宋体" w:cs="Times New Roman"/>
                <w:b w:val="0"/>
                <w:bCs w:val="0"/>
                <w:color w:val="auto"/>
                <w:sz w:val="21"/>
                <w:szCs w:val="21"/>
                <w:highlight w:val="none"/>
              </w:rPr>
              <w:t>，得2</w:t>
            </w:r>
            <w:r>
              <w:rPr>
                <w:rFonts w:hint="eastAsia" w:ascii="宋体" w:hAnsi="宋体" w:cs="Times New Roman"/>
                <w:b w:val="0"/>
                <w:bCs w:val="0"/>
                <w:color w:val="auto"/>
                <w:sz w:val="21"/>
                <w:szCs w:val="21"/>
                <w:highlight w:val="none"/>
                <w:lang w:val="en-US" w:eastAsia="zh-CN"/>
              </w:rPr>
              <w:t>.5</w:t>
            </w:r>
            <w:r>
              <w:rPr>
                <w:rFonts w:hint="eastAsia" w:ascii="宋体" w:hAnsi="宋体" w:eastAsia="宋体" w:cs="Times New Roman"/>
                <w:b w:val="0"/>
                <w:bCs w:val="0"/>
                <w:color w:val="auto"/>
                <w:sz w:val="21"/>
                <w:szCs w:val="21"/>
                <w:highlight w:val="none"/>
              </w:rPr>
              <w:t>分；</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3.具有</w:t>
            </w:r>
            <w:r>
              <w:rPr>
                <w:rFonts w:hint="eastAsia" w:ascii="宋体" w:hAnsi="宋体" w:eastAsia="宋体" w:cs="Times New Roman"/>
                <w:b w:val="0"/>
                <w:bCs w:val="0"/>
                <w:color w:val="auto"/>
                <w:sz w:val="21"/>
                <w:szCs w:val="21"/>
                <w:highlight w:val="none"/>
                <w:lang w:val="en-US" w:eastAsia="zh-CN"/>
              </w:rPr>
              <w:t>安全策略</w:t>
            </w:r>
            <w:r>
              <w:rPr>
                <w:rFonts w:hint="eastAsia" w:ascii="宋体" w:hAnsi="宋体" w:eastAsia="宋体" w:cs="Times New Roman"/>
                <w:b w:val="0"/>
                <w:bCs w:val="0"/>
                <w:color w:val="auto"/>
                <w:sz w:val="21"/>
                <w:szCs w:val="21"/>
                <w:highlight w:val="none"/>
              </w:rPr>
              <w:t>类计算机软件著作权登记证书</w:t>
            </w:r>
            <w:r>
              <w:rPr>
                <w:rFonts w:hint="eastAsia" w:ascii="宋体" w:hAnsi="宋体" w:eastAsia="宋体" w:cs="Times New Roman"/>
                <w:b w:val="0"/>
                <w:bCs w:val="0"/>
                <w:color w:val="auto"/>
                <w:sz w:val="21"/>
                <w:szCs w:val="21"/>
                <w:highlight w:val="none"/>
                <w:lang w:val="en-US" w:eastAsia="zh-CN"/>
              </w:rPr>
              <w:t>或专利证书</w:t>
            </w:r>
            <w:r>
              <w:rPr>
                <w:rFonts w:hint="eastAsia" w:ascii="宋体" w:hAnsi="宋体" w:eastAsia="宋体" w:cs="Times New Roman"/>
                <w:b w:val="0"/>
                <w:bCs w:val="0"/>
                <w:color w:val="auto"/>
                <w:sz w:val="21"/>
                <w:szCs w:val="21"/>
                <w:highlight w:val="none"/>
              </w:rPr>
              <w:t>，得</w:t>
            </w:r>
            <w:r>
              <w:rPr>
                <w:rFonts w:hint="eastAsia" w:ascii="宋体" w:hAnsi="宋体" w:cs="Times New Roman"/>
                <w:b w:val="0"/>
                <w:bCs w:val="0"/>
                <w:color w:val="auto"/>
                <w:sz w:val="21"/>
                <w:szCs w:val="21"/>
                <w:highlight w:val="none"/>
                <w:lang w:val="en-US" w:eastAsia="zh-CN"/>
              </w:rPr>
              <w:t>3.5</w:t>
            </w:r>
            <w:r>
              <w:rPr>
                <w:rFonts w:hint="eastAsia" w:ascii="宋体" w:hAnsi="宋体" w:eastAsia="宋体" w:cs="Times New Roman"/>
                <w:b w:val="0"/>
                <w:bCs w:val="0"/>
                <w:color w:val="auto"/>
                <w:sz w:val="21"/>
                <w:szCs w:val="21"/>
                <w:highlight w:val="none"/>
              </w:rPr>
              <w:t>分；</w:t>
            </w:r>
          </w:p>
          <w:p>
            <w:pPr>
              <w:pStyle w:val="7"/>
              <w:spacing w:line="240" w:lineRule="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4.具有大数据分析系统类计算机软件著作权登记证书</w:t>
            </w:r>
            <w:r>
              <w:rPr>
                <w:rFonts w:hint="eastAsia" w:ascii="宋体" w:hAnsi="宋体" w:eastAsia="宋体" w:cs="Times New Roman"/>
                <w:b w:val="0"/>
                <w:bCs w:val="0"/>
                <w:color w:val="auto"/>
                <w:sz w:val="21"/>
                <w:szCs w:val="21"/>
                <w:highlight w:val="none"/>
                <w:lang w:val="en-US" w:eastAsia="zh-CN"/>
              </w:rPr>
              <w:t>或专利证书</w:t>
            </w:r>
            <w:r>
              <w:rPr>
                <w:rFonts w:hint="eastAsia" w:ascii="宋体" w:hAnsi="宋体" w:eastAsia="宋体" w:cs="Times New Roman"/>
                <w:b w:val="0"/>
                <w:bCs w:val="0"/>
                <w:color w:val="auto"/>
                <w:sz w:val="21"/>
                <w:szCs w:val="21"/>
                <w:highlight w:val="none"/>
              </w:rPr>
              <w:t>，得2</w:t>
            </w:r>
            <w:r>
              <w:rPr>
                <w:rFonts w:hint="eastAsia" w:ascii="宋体" w:hAnsi="宋体" w:cs="Times New Roman"/>
                <w:b w:val="0"/>
                <w:bCs w:val="0"/>
                <w:color w:val="auto"/>
                <w:sz w:val="21"/>
                <w:szCs w:val="21"/>
                <w:highlight w:val="none"/>
                <w:lang w:val="en-US" w:eastAsia="zh-CN"/>
              </w:rPr>
              <w:t>.5</w:t>
            </w:r>
            <w:r>
              <w:rPr>
                <w:rFonts w:hint="eastAsia" w:ascii="宋体" w:hAnsi="宋体" w:eastAsia="宋体" w:cs="Times New Roman"/>
                <w:b w:val="0"/>
                <w:bCs w:val="0"/>
                <w:color w:val="auto"/>
                <w:sz w:val="21"/>
                <w:szCs w:val="21"/>
                <w:highlight w:val="none"/>
              </w:rPr>
              <w:t>分</w:t>
            </w:r>
          </w:p>
          <w:p>
            <w:pPr>
              <w:pStyle w:val="7"/>
              <w:spacing w:line="240" w:lineRule="auto"/>
              <w:rPr>
                <w:rFonts w:hint="eastAsia" w:eastAsia="宋体"/>
                <w:color w:val="auto"/>
                <w:highlight w:val="none"/>
                <w:lang w:eastAsia="zh-CN"/>
              </w:rPr>
            </w:pPr>
            <w:r>
              <w:rPr>
                <w:rFonts w:hint="eastAsia" w:ascii="宋体" w:hAnsi="宋体" w:eastAsia="宋体" w:cs="Times New Roman"/>
                <w:b w:val="0"/>
                <w:bCs w:val="0"/>
                <w:color w:val="auto"/>
                <w:sz w:val="21"/>
                <w:szCs w:val="21"/>
                <w:highlight w:val="none"/>
                <w:lang w:val="en-US" w:eastAsia="zh-CN"/>
              </w:rPr>
              <w:t>5.</w:t>
            </w:r>
            <w:r>
              <w:rPr>
                <w:rFonts w:hint="eastAsia" w:ascii="宋体" w:hAnsi="宋体" w:eastAsia="宋体" w:cs="Times New Roman"/>
                <w:b w:val="0"/>
                <w:bCs w:val="0"/>
                <w:color w:val="auto"/>
                <w:sz w:val="21"/>
                <w:szCs w:val="21"/>
                <w:highlight w:val="none"/>
              </w:rPr>
              <w:t>具有</w:t>
            </w:r>
            <w:r>
              <w:rPr>
                <w:rFonts w:hint="eastAsia" w:ascii="宋体" w:hAnsi="宋体" w:eastAsia="宋体" w:cs="Times New Roman"/>
                <w:b w:val="0"/>
                <w:bCs w:val="0"/>
                <w:color w:val="auto"/>
                <w:sz w:val="21"/>
                <w:szCs w:val="21"/>
                <w:highlight w:val="none"/>
                <w:lang w:val="en-US" w:eastAsia="zh-CN"/>
              </w:rPr>
              <w:t>安全监测</w:t>
            </w:r>
            <w:r>
              <w:rPr>
                <w:rFonts w:hint="eastAsia" w:ascii="宋体" w:hAnsi="宋体" w:eastAsia="宋体" w:cs="Times New Roman"/>
                <w:b w:val="0"/>
                <w:bCs w:val="0"/>
                <w:color w:val="auto"/>
                <w:sz w:val="21"/>
                <w:szCs w:val="21"/>
                <w:highlight w:val="none"/>
              </w:rPr>
              <w:t>类计算机软件著作权登记证书</w:t>
            </w:r>
            <w:r>
              <w:rPr>
                <w:rFonts w:hint="eastAsia" w:ascii="宋体" w:hAnsi="宋体" w:eastAsia="宋体" w:cs="Times New Roman"/>
                <w:b w:val="0"/>
                <w:bCs w:val="0"/>
                <w:color w:val="auto"/>
                <w:sz w:val="21"/>
                <w:szCs w:val="21"/>
                <w:highlight w:val="none"/>
                <w:lang w:val="en-US" w:eastAsia="zh-CN"/>
              </w:rPr>
              <w:t>或专利证书</w:t>
            </w:r>
            <w:r>
              <w:rPr>
                <w:rFonts w:hint="eastAsia" w:ascii="宋体" w:hAnsi="宋体" w:eastAsia="宋体" w:cs="Times New Roman"/>
                <w:b w:val="0"/>
                <w:bCs w:val="0"/>
                <w:color w:val="auto"/>
                <w:sz w:val="21"/>
                <w:szCs w:val="21"/>
                <w:highlight w:val="none"/>
              </w:rPr>
              <w:t>，得</w:t>
            </w:r>
            <w:r>
              <w:rPr>
                <w:rFonts w:hint="eastAsia" w:ascii="宋体" w:hAnsi="宋体" w:cs="Times New Roman"/>
                <w:b w:val="0"/>
                <w:bCs w:val="0"/>
                <w:color w:val="auto"/>
                <w:sz w:val="21"/>
                <w:szCs w:val="21"/>
                <w:highlight w:val="none"/>
                <w:lang w:val="en-US" w:eastAsia="zh-CN"/>
              </w:rPr>
              <w:t>3</w:t>
            </w:r>
            <w:r>
              <w:rPr>
                <w:rFonts w:hint="eastAsia" w:ascii="宋体" w:hAnsi="宋体" w:eastAsia="宋体" w:cs="Times New Roman"/>
                <w:b w:val="0"/>
                <w:bCs w:val="0"/>
                <w:color w:val="auto"/>
                <w:sz w:val="21"/>
                <w:szCs w:val="21"/>
                <w:highlight w:val="none"/>
              </w:rPr>
              <w:t>分</w:t>
            </w:r>
            <w:r>
              <w:rPr>
                <w:rFonts w:hint="eastAsia" w:ascii="宋体" w:hAnsi="宋体" w:eastAsia="宋体" w:cs="Times New Roman"/>
                <w:b w:val="0"/>
                <w:bCs w:val="0"/>
                <w:color w:val="auto"/>
                <w:sz w:val="21"/>
                <w:szCs w:val="21"/>
                <w:highlight w:val="none"/>
                <w:lang w:val="en-US" w:eastAsia="zh-CN"/>
              </w:rPr>
              <w:t>。</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最高得15分。</w:t>
            </w:r>
            <w:r>
              <w:rPr>
                <w:rFonts w:hint="eastAsia" w:ascii="宋体" w:hAnsi="宋体" w:eastAsia="宋体" w:cs="Times New Roman"/>
                <w:b w:val="0"/>
                <w:bCs w:val="0"/>
                <w:color w:val="auto"/>
                <w:sz w:val="21"/>
                <w:szCs w:val="21"/>
                <w:highlight w:val="none"/>
                <w:lang w:val="en-US" w:eastAsia="zh-CN"/>
              </w:rPr>
              <w:br w:type="textWrapping"/>
            </w:r>
            <w:r>
              <w:rPr>
                <w:rFonts w:hint="eastAsia" w:ascii="宋体" w:hAnsi="宋体" w:eastAsia="宋体" w:cs="Times New Roman"/>
                <w:b w:val="0"/>
                <w:bCs w:val="0"/>
                <w:color w:val="auto"/>
                <w:sz w:val="21"/>
                <w:szCs w:val="21"/>
                <w:highlight w:val="none"/>
                <w:lang w:val="en-US" w:eastAsia="zh-CN"/>
              </w:rPr>
              <w:t>（二）评分依据:</w:t>
            </w:r>
            <w:r>
              <w:rPr>
                <w:rFonts w:hint="eastAsia" w:ascii="宋体" w:hAnsi="宋体" w:eastAsia="宋体" w:cs="Times New Roman"/>
                <w:b w:val="0"/>
                <w:bCs w:val="0"/>
                <w:color w:val="auto"/>
                <w:sz w:val="21"/>
                <w:szCs w:val="21"/>
                <w:highlight w:val="none"/>
                <w:lang w:val="en-US" w:eastAsia="zh-CN"/>
              </w:rPr>
              <w:br w:type="textWrapping"/>
            </w:r>
            <w:r>
              <w:rPr>
                <w:rFonts w:hint="eastAsia" w:ascii="宋体" w:hAnsi="宋体" w:eastAsia="宋体" w:cs="Times New Roman"/>
                <w:b w:val="0"/>
                <w:bCs w:val="0"/>
                <w:color w:val="auto"/>
                <w:sz w:val="21"/>
                <w:szCs w:val="21"/>
                <w:highlight w:val="none"/>
                <w:lang w:val="en-US" w:eastAsia="zh-CN"/>
              </w:rPr>
              <w:t>1.要求提供有效的</w:t>
            </w:r>
            <w:r>
              <w:rPr>
                <w:rFonts w:hint="eastAsia" w:ascii="宋体" w:hAnsi="宋体" w:eastAsia="宋体" w:cs="Times New Roman"/>
                <w:b w:val="0"/>
                <w:bCs w:val="0"/>
                <w:color w:val="auto"/>
                <w:sz w:val="21"/>
                <w:szCs w:val="21"/>
                <w:highlight w:val="none"/>
              </w:rPr>
              <w:t>计算机软件著作权登记证书</w:t>
            </w:r>
            <w:r>
              <w:rPr>
                <w:rFonts w:hint="eastAsia" w:ascii="宋体" w:hAnsi="宋体" w:eastAsia="宋体" w:cs="Times New Roman"/>
                <w:b w:val="0"/>
                <w:bCs w:val="0"/>
                <w:color w:val="auto"/>
                <w:sz w:val="21"/>
                <w:szCs w:val="21"/>
                <w:highlight w:val="none"/>
                <w:lang w:val="en-US" w:eastAsia="zh-CN"/>
              </w:rPr>
              <w:t>或专利证书等证明材料作为得分依据。</w:t>
            </w:r>
          </w:p>
          <w:p>
            <w:pPr>
              <w:pStyle w:val="7"/>
              <w:spacing w:line="240" w:lineRule="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以上资料均要求提供扫描件（或官方网站截图），原件备查。评分中出现无证明资料或专家无法凭所提供资料判断是否得分的情况，一律作不得分处理。</w:t>
            </w:r>
          </w:p>
          <w:p>
            <w:pPr>
              <w:pStyle w:val="7"/>
              <w:spacing w:line="240" w:lineRule="auto"/>
              <w:rPr>
                <w:rFonts w:hint="eastAsia"/>
                <w:color w:val="auto"/>
                <w:highlight w:val="none"/>
                <w:lang w:val="en-US" w:eastAsia="zh-CN"/>
              </w:rPr>
            </w:pPr>
            <w:r>
              <w:rPr>
                <w:rFonts w:hint="eastAsia" w:ascii="宋体" w:hAnsi="宋体" w:eastAsia="宋体" w:cs="Times New Roman"/>
                <w:b w:val="0"/>
                <w:bCs w:val="0"/>
                <w:color w:val="auto"/>
                <w:sz w:val="21"/>
                <w:szCs w:val="21"/>
                <w:highlight w:val="none"/>
                <w:lang w:val="en-US" w:eastAsia="zh-CN"/>
              </w:rPr>
              <w:t>投标人如为分支机构，提供其总公司或集团公司证书亦可得分。</w:t>
            </w:r>
          </w:p>
        </w:tc>
      </w:tr>
    </w:tbl>
    <w:p>
      <w:pPr>
        <w:numPr>
          <w:ilvl w:val="255"/>
          <w:numId w:val="0"/>
        </w:numPr>
        <w:spacing w:line="560" w:lineRule="exact"/>
        <w:rPr>
          <w:rFonts w:hint="eastAsia" w:ascii="黑体" w:hAnsi="黑体" w:eastAsia="黑体" w:cs="黑体"/>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 </w:t>
      </w:r>
      <w:r>
        <w:rPr>
          <w:rFonts w:hint="eastAsia" w:ascii="黑体" w:hAnsi="黑体" w:eastAsia="黑体" w:cs="黑体"/>
          <w:color w:val="auto"/>
          <w:sz w:val="32"/>
          <w:szCs w:val="32"/>
          <w:highlight w:val="none"/>
          <w:lang w:bidi="ar"/>
        </w:rPr>
        <w:t xml:space="preserve"> 五、商务需求</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（一）服务期限：一年</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（二）服务地点：深圳市福田区市民中心C区</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（三）项目属性：非长期服务项目</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（四）报价要求：</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2.投标供应商应当根据本企业的成本自行决定报价，但不得以低于其企业成本的报价投标。由于报价过低有可能影响服务质量或者不能诚信履约的，必要时需提交书面说明和相关证明材料；如不能证明其报价合理性的，作为无效投标处理。</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3.投标供应商的报价不得超过项目预算金额。</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4.投标供应商的报价，应当是本项目采购范围和采购文件及合同条款上所列的各项内容中所述的全部，不得以任何理由予以重复。</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5.投标供应商应按采购文件需根据目录内容编写页码，包含报价函、报价表、法人授权委托书、技术响应偏离情况说明表、商务响应表、政府采购违法行为风险知悉确认书、无不良行为承诺书、资质审查材料及其他证明资料等（详见附件），将投标文件（一式五份，正本1份，副本4份，附电子版，电子版是以光盘、U盘或硬盘等移动存储介质提交的加盖公章的PDF电子文件），信封或包装袋封面上应写明：项目名称、供应商名称，投标供应商自行承担所有与编写和提交响应文件有关的费用。</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6.投标供应商不得期望通过索赔等方式获取补偿，否则，除可能遭到拒绝外，还可能将被作为不良行为记录在案，并可能影响其以后参加政府采购的项目投标。各投标供应商在报价时，应充分考虑报价的风险。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
        <w:ind w:left="0" w:leftChars="0" w:firstLine="320" w:firstLineChars="100"/>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五</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项目人员安排要求</w:t>
      </w:r>
    </w:p>
    <w:p>
      <w:pPr>
        <w:pStyle w:val="2"/>
        <w:rPr>
          <w:rFonts w:hint="eastAsia"/>
          <w:color w:val="auto"/>
        </w:rPr>
      </w:pPr>
      <w:r>
        <w:rPr>
          <w:rFonts w:hint="eastAsia" w:ascii="仿宋_GB2312" w:hAnsi="仿宋_GB2312" w:eastAsia="仿宋_GB2312" w:cs="仿宋_GB2312"/>
          <w:color w:val="auto"/>
          <w:sz w:val="32"/>
          <w:szCs w:val="32"/>
          <w:highlight w:val="none"/>
          <w:lang w:bidi="ar"/>
        </w:rPr>
        <w:t>本项目要求</w:t>
      </w:r>
      <w:r>
        <w:rPr>
          <w:rFonts w:hint="eastAsia" w:ascii="仿宋_GB2312" w:hAnsi="仿宋_GB2312" w:eastAsia="仿宋_GB2312" w:cs="仿宋_GB2312"/>
          <w:color w:val="auto"/>
          <w:sz w:val="32"/>
          <w:szCs w:val="32"/>
          <w:highlight w:val="none"/>
          <w:lang w:val="en-US" w:eastAsia="zh-CN" w:bidi="ar"/>
        </w:rPr>
        <w:t>现场服务</w:t>
      </w:r>
      <w:r>
        <w:rPr>
          <w:rFonts w:hint="eastAsia" w:ascii="仿宋_GB2312" w:hAnsi="仿宋_GB2312" w:eastAsia="仿宋_GB2312" w:cs="仿宋_GB2312"/>
          <w:color w:val="auto"/>
          <w:sz w:val="32"/>
          <w:szCs w:val="32"/>
          <w:highlight w:val="none"/>
          <w:lang w:bidi="ar"/>
        </w:rPr>
        <w:t>人员</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人</w:t>
      </w:r>
      <w:r>
        <w:rPr>
          <w:rFonts w:hint="eastAsia" w:ascii="仿宋_GB2312" w:hAnsi="仿宋_GB2312" w:eastAsia="仿宋_GB2312" w:cs="仿宋_GB2312"/>
          <w:color w:val="auto"/>
          <w:sz w:val="32"/>
          <w:szCs w:val="32"/>
          <w:highlight w:val="none"/>
          <w:lang w:eastAsia="zh-CN" w:bidi="ar"/>
        </w:rPr>
        <w:t>，项目负责团队不少于</w:t>
      </w:r>
      <w:r>
        <w:rPr>
          <w:rFonts w:hint="eastAsia" w:ascii="仿宋_GB2312" w:hAnsi="仿宋_GB2312" w:eastAsia="仿宋_GB2312" w:cs="仿宋_GB2312"/>
          <w:color w:val="auto"/>
          <w:sz w:val="32"/>
          <w:szCs w:val="32"/>
          <w:highlight w:val="none"/>
          <w:lang w:val="en-US" w:eastAsia="zh-CN" w:bidi="ar"/>
        </w:rPr>
        <w:t>3人（含现场服务人员）</w:t>
      </w:r>
      <w:r>
        <w:rPr>
          <w:rFonts w:hint="eastAsia" w:ascii="仿宋_GB2312" w:hAnsi="仿宋_GB2312" w:eastAsia="仿宋_GB2312" w:cs="仿宋_GB2312"/>
          <w:color w:val="auto"/>
          <w:sz w:val="32"/>
          <w:szCs w:val="32"/>
          <w:highlight w:val="none"/>
          <w:lang w:eastAsia="zh-CN" w:bidi="ar"/>
        </w:rPr>
        <w:t>。</w:t>
      </w:r>
    </w:p>
    <w:p>
      <w:pPr>
        <w:numPr>
          <w:ilvl w:val="255"/>
          <w:numId w:val="0"/>
        </w:numPr>
        <w:spacing w:line="560" w:lineRule="exact"/>
        <w:ind w:firstLine="320" w:firstLineChars="1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六</w:t>
      </w:r>
      <w:r>
        <w:rPr>
          <w:rFonts w:hint="eastAsia" w:ascii="仿宋_GB2312" w:hAnsi="仿宋_GB2312" w:eastAsia="仿宋_GB2312" w:cs="仿宋_GB2312"/>
          <w:color w:val="auto"/>
          <w:sz w:val="32"/>
          <w:szCs w:val="32"/>
          <w:highlight w:val="none"/>
          <w:lang w:bidi="ar"/>
        </w:rPr>
        <w:t>）验收要求</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期满，中标人提出验收申请后采购人7日内组织履约验收，中标人提交验收总结报告，针对服务期内的工作进行总结，对采购人目前政务服务的问题提出针对性措施。经采购人确认中标人已完成所有服务内容，且完成资料交接后，视为验收合格。</w:t>
      </w:r>
    </w:p>
    <w:p>
      <w:pPr>
        <w:numPr>
          <w:ilvl w:val="255"/>
          <w:numId w:val="0"/>
        </w:numPr>
        <w:spacing w:line="560" w:lineRule="exact"/>
        <w:ind w:firstLine="320" w:firstLineChars="1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七</w:t>
      </w:r>
      <w:r>
        <w:rPr>
          <w:rFonts w:hint="eastAsia" w:ascii="仿宋_GB2312" w:hAnsi="仿宋_GB2312" w:eastAsia="仿宋_GB2312" w:cs="仿宋_GB2312"/>
          <w:color w:val="auto"/>
          <w:sz w:val="32"/>
          <w:szCs w:val="32"/>
          <w:highlight w:val="none"/>
          <w:lang w:bidi="ar"/>
        </w:rPr>
        <w:t>）知识产权归属</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为履行本</w:t>
      </w:r>
      <w:r>
        <w:rPr>
          <w:rFonts w:hint="eastAsia" w:ascii="仿宋_GB2312" w:hAnsi="仿宋_GB2312" w:eastAsia="仿宋_GB2312" w:cs="仿宋_GB2312"/>
          <w:color w:val="auto"/>
          <w:sz w:val="32"/>
          <w:szCs w:val="32"/>
          <w:highlight w:val="none"/>
          <w:lang w:val="en-US" w:eastAsia="zh-CN" w:bidi="ar"/>
        </w:rPr>
        <w:t>项目</w:t>
      </w:r>
      <w:r>
        <w:rPr>
          <w:rFonts w:hint="eastAsia" w:ascii="仿宋_GB2312" w:hAnsi="仿宋_GB2312" w:eastAsia="仿宋_GB2312" w:cs="仿宋_GB2312"/>
          <w:color w:val="auto"/>
          <w:sz w:val="32"/>
          <w:szCs w:val="32"/>
          <w:highlight w:val="none"/>
          <w:lang w:bidi="ar"/>
        </w:rPr>
        <w:t>所规定的内容及义务，服务单位（中标人）产出的服务成果知识产权归采购人所有。</w:t>
      </w:r>
    </w:p>
    <w:p>
      <w:pPr>
        <w:numPr>
          <w:ilvl w:val="255"/>
          <w:numId w:val="0"/>
        </w:numPr>
        <w:spacing w:line="560" w:lineRule="exact"/>
        <w:ind w:firstLine="320" w:firstLineChars="1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八</w:t>
      </w:r>
      <w:r>
        <w:rPr>
          <w:rFonts w:hint="eastAsia" w:ascii="仿宋_GB2312" w:hAnsi="仿宋_GB2312" w:eastAsia="仿宋_GB2312" w:cs="仿宋_GB2312"/>
          <w:color w:val="auto"/>
          <w:sz w:val="32"/>
          <w:szCs w:val="32"/>
          <w:highlight w:val="none"/>
          <w:lang w:bidi="ar"/>
        </w:rPr>
        <w:t>）保密要求</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中标人应对本项目的内容、因履行本项目或在本项目期间获得的或收到的采购人的商务、财务、技术、产品的信息、用户资料，均不得泄漏给除甲方或其指定的代表之外的任何人或企业，不管本</w:t>
      </w:r>
      <w:r>
        <w:rPr>
          <w:rFonts w:hint="eastAsia" w:ascii="仿宋_GB2312" w:hAnsi="仿宋_GB2312" w:eastAsia="仿宋_GB2312" w:cs="仿宋_GB2312"/>
          <w:color w:val="auto"/>
          <w:sz w:val="32"/>
          <w:szCs w:val="32"/>
          <w:highlight w:val="none"/>
          <w:lang w:val="en-US" w:eastAsia="zh-CN" w:bidi="ar"/>
        </w:rPr>
        <w:t>项目</w:t>
      </w:r>
      <w:r>
        <w:rPr>
          <w:rFonts w:hint="eastAsia" w:ascii="仿宋_GB2312" w:hAnsi="仿宋_GB2312" w:eastAsia="仿宋_GB2312" w:cs="仿宋_GB2312"/>
          <w:color w:val="auto"/>
          <w:sz w:val="32"/>
          <w:szCs w:val="32"/>
          <w:highlight w:val="none"/>
          <w:lang w:bidi="ar"/>
        </w:rPr>
        <w:t>因何种原因终止，本条款一直约束乙方。</w:t>
      </w:r>
    </w:p>
    <w:p>
      <w:pPr>
        <w:numPr>
          <w:ilvl w:val="255"/>
          <w:numId w:val="0"/>
        </w:numPr>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六、提交投标文件联系方式、地点和截止时间</w:t>
      </w:r>
    </w:p>
    <w:p>
      <w:pPr>
        <w:spacing w:line="560" w:lineRule="exact"/>
        <w:ind w:firstLine="640" w:firstLineChars="200"/>
        <w:rPr>
          <w:rFonts w:hint="default" w:ascii="Times New Roman" w:hAnsi="Times New Roman" w:eastAsia="仿宋"/>
          <w:color w:val="auto"/>
          <w:sz w:val="32"/>
          <w:szCs w:val="21"/>
          <w:highlight w:val="none"/>
          <w:lang w:val="en-US" w:eastAsia="zh-CN"/>
        </w:rPr>
      </w:pPr>
      <w:r>
        <w:rPr>
          <w:rFonts w:hint="eastAsia" w:ascii="Times New Roman" w:hAnsi="Times New Roman" w:eastAsia="仿宋"/>
          <w:color w:val="auto"/>
          <w:sz w:val="32"/>
          <w:szCs w:val="21"/>
          <w:highlight w:val="none"/>
        </w:rPr>
        <w:t xml:space="preserve">（一）联系人：张先生 </w:t>
      </w:r>
      <w:r>
        <w:rPr>
          <w:rFonts w:ascii="Times New Roman" w:hAnsi="Times New Roman" w:eastAsia="仿宋"/>
          <w:color w:val="auto"/>
          <w:sz w:val="32"/>
          <w:szCs w:val="21"/>
          <w:highlight w:val="none"/>
        </w:rPr>
        <w:t xml:space="preserve">88127356  </w:t>
      </w:r>
      <w:r>
        <w:rPr>
          <w:rFonts w:hint="eastAsia" w:ascii="Times New Roman" w:hAnsi="Times New Roman" w:eastAsia="仿宋"/>
          <w:color w:val="auto"/>
          <w:sz w:val="32"/>
          <w:szCs w:val="21"/>
          <w:highlight w:val="none"/>
          <w:lang w:eastAsia="zh-CN"/>
        </w:rPr>
        <w:t>韩</w:t>
      </w:r>
      <w:r>
        <w:rPr>
          <w:rFonts w:hint="eastAsia" w:ascii="Times New Roman" w:hAnsi="Times New Roman" w:eastAsia="仿宋"/>
          <w:color w:val="auto"/>
          <w:sz w:val="32"/>
          <w:szCs w:val="21"/>
          <w:highlight w:val="none"/>
        </w:rPr>
        <w:t xml:space="preserve">先生 </w:t>
      </w:r>
      <w:r>
        <w:rPr>
          <w:rFonts w:hint="eastAsia" w:ascii="Times New Roman" w:hAnsi="Times New Roman" w:eastAsia="仿宋"/>
          <w:color w:val="auto"/>
          <w:sz w:val="32"/>
          <w:szCs w:val="21"/>
          <w:highlight w:val="none"/>
          <w:lang w:val="en-US" w:eastAsia="zh-CN"/>
        </w:rPr>
        <w:t>88121461</w:t>
      </w:r>
    </w:p>
    <w:p>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（二）投标地点：深圳市福田区市民中心C区4091室</w:t>
      </w:r>
    </w:p>
    <w:p>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（三）投标方式：通过EMS邮寄（不需要现场报名），投标时间自公告发布之日至投标截止时间，逾期不予受理。</w:t>
      </w:r>
    </w:p>
    <w:p>
      <w:pPr>
        <w:numPr>
          <w:ilvl w:val="-1"/>
          <w:numId w:val="0"/>
        </w:numPr>
        <w:spacing w:line="240" w:lineRule="auto"/>
        <w:ind w:firstLine="640" w:firstLineChars="200"/>
        <w:rPr>
          <w:rFonts w:hint="eastAsia" w:ascii="仿宋_GB2312" w:hAnsi="仿宋_GB2312" w:eastAsia="仿宋_GB2312" w:cs="仿宋_GB2312"/>
          <w:color w:val="auto"/>
          <w:sz w:val="32"/>
          <w:szCs w:val="32"/>
          <w:highlight w:val="none"/>
          <w:lang w:bidi="ar"/>
        </w:rPr>
      </w:pPr>
      <w:r>
        <w:rPr>
          <w:rFonts w:hint="eastAsia" w:ascii="Times New Roman" w:hAnsi="Times New Roman" w:eastAsia="仿宋"/>
          <w:color w:val="auto"/>
          <w:sz w:val="32"/>
          <w:szCs w:val="21"/>
          <w:highlight w:val="none"/>
        </w:rPr>
        <w:t>（四）投标截止时间：2025年</w:t>
      </w:r>
      <w:r>
        <w:rPr>
          <w:rFonts w:hint="eastAsia" w:ascii="Times New Roman" w:hAnsi="Times New Roman" w:eastAsia="仿宋"/>
          <w:color w:val="auto"/>
          <w:sz w:val="32"/>
          <w:szCs w:val="21"/>
          <w:highlight w:val="none"/>
          <w:lang w:val="en-US" w:eastAsia="zh-CN"/>
        </w:rPr>
        <w:t>1</w:t>
      </w:r>
      <w:r>
        <w:rPr>
          <w:rFonts w:hint="default" w:ascii="Times New Roman" w:hAnsi="Times New Roman" w:eastAsia="仿宋"/>
          <w:color w:val="auto"/>
          <w:sz w:val="32"/>
          <w:szCs w:val="21"/>
          <w:highlight w:val="none"/>
          <w:lang w:val="en" w:eastAsia="zh-CN"/>
        </w:rPr>
        <w:t>1</w:t>
      </w:r>
      <w:r>
        <w:rPr>
          <w:rFonts w:hint="eastAsia" w:ascii="Times New Roman" w:hAnsi="Times New Roman" w:eastAsia="仿宋"/>
          <w:color w:val="auto"/>
          <w:sz w:val="32"/>
          <w:szCs w:val="21"/>
          <w:highlight w:val="none"/>
        </w:rPr>
        <w:t>月</w:t>
      </w:r>
      <w:r>
        <w:rPr>
          <w:rFonts w:hint="default" w:ascii="Times New Roman" w:hAnsi="Times New Roman" w:eastAsia="仿宋"/>
          <w:color w:val="auto"/>
          <w:sz w:val="32"/>
          <w:szCs w:val="21"/>
          <w:highlight w:val="none"/>
          <w:lang w:val="en"/>
        </w:rPr>
        <w:t>17</w:t>
      </w:r>
      <w:r>
        <w:rPr>
          <w:rFonts w:hint="eastAsia" w:ascii="Times New Roman" w:hAnsi="Times New Roman" w:eastAsia="仿宋"/>
          <w:color w:val="auto"/>
          <w:sz w:val="32"/>
          <w:szCs w:val="21"/>
          <w:highlight w:val="none"/>
        </w:rPr>
        <w:t>日18时00分</w:t>
      </w:r>
      <w:bookmarkStart w:id="1" w:name="_GoBack"/>
      <w:bookmarkEnd w:id="1"/>
    </w:p>
    <w:p>
      <w:pPr>
        <w:numPr>
          <w:ilvl w:val="-1"/>
          <w:numId w:val="0"/>
        </w:numPr>
        <w:spacing w:line="240" w:lineRule="auto"/>
        <w:ind w:firstLine="640" w:firstLineChars="200"/>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eastAsia="zh-CN" w:bidi="ar"/>
        </w:rPr>
        <w:t>七</w:t>
      </w:r>
      <w:r>
        <w:rPr>
          <w:rFonts w:hint="eastAsia" w:ascii="黑体" w:hAnsi="黑体" w:eastAsia="黑体" w:cs="黑体"/>
          <w:color w:val="auto"/>
          <w:sz w:val="32"/>
          <w:szCs w:val="32"/>
          <w:highlight w:val="none"/>
          <w:lang w:bidi="ar"/>
        </w:rPr>
        <w:t>、附件</w:t>
      </w:r>
    </w:p>
    <w:p>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投标文件构成、要求及格式</w:t>
      </w:r>
    </w:p>
    <w:p>
      <w:pPr>
        <w:snapToGrid w:val="0"/>
        <w:spacing w:line="560" w:lineRule="exact"/>
        <w:rPr>
          <w:rFonts w:hint="eastAsia" w:ascii="仿宋_GB2312" w:hAnsi="仿宋_GB2312" w:eastAsia="仿宋_GB2312" w:cs="仿宋_GB2312"/>
          <w:color w:val="auto"/>
          <w:sz w:val="28"/>
          <w:szCs w:val="28"/>
          <w:highlight w:val="none"/>
        </w:rPr>
      </w:pPr>
    </w:p>
    <w:p>
      <w:pPr>
        <w:snapToGrid w:val="0"/>
        <w:spacing w:line="560" w:lineRule="exact"/>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snapToGrid w:val="0"/>
        <w:spacing w:line="560" w:lineRule="exact"/>
        <w:rPr>
          <w:rFonts w:hint="eastAsia" w:ascii="仿宋_GB2312" w:hAnsi="仿宋_GB2312" w:eastAsia="仿宋_GB2312" w:cs="仿宋_GB2312"/>
          <w:color w:val="auto"/>
          <w:sz w:val="28"/>
          <w:szCs w:val="28"/>
          <w:highlight w:val="none"/>
        </w:rPr>
      </w:pPr>
    </w:p>
    <w:p>
      <w:pPr>
        <w:snapToGrid w:val="0"/>
        <w:spacing w:line="560" w:lineRule="exact"/>
        <w:rPr>
          <w:rFonts w:hint="eastAsia" w:ascii="仿宋_GB2312" w:hAnsi="仿宋_GB2312" w:eastAsia="仿宋_GB2312" w:cs="仿宋_GB2312"/>
          <w:color w:val="auto"/>
          <w:sz w:val="28"/>
          <w:szCs w:val="28"/>
          <w:highlight w:val="none"/>
        </w:rPr>
      </w:pPr>
    </w:p>
    <w:p>
      <w:pPr>
        <w:snapToGrid w:val="0"/>
        <w:spacing w:line="560" w:lineRule="exact"/>
        <w:rPr>
          <w:rFonts w:hint="eastAsia" w:ascii="仿宋_GB2312" w:hAnsi="仿宋_GB2312" w:eastAsia="仿宋_GB2312" w:cs="仿宋_GB2312"/>
          <w:color w:val="auto"/>
          <w:sz w:val="28"/>
          <w:szCs w:val="28"/>
          <w:highlight w:val="none"/>
        </w:rPr>
      </w:pPr>
    </w:p>
    <w:p>
      <w:pPr>
        <w:snapToGrid w:val="0"/>
        <w:spacing w:line="560" w:lineRule="exact"/>
        <w:rPr>
          <w:rFonts w:hint="eastAsia" w:ascii="仿宋_GB2312" w:hAnsi="仿宋_GB2312" w:eastAsia="仿宋_GB2312" w:cs="仿宋_GB2312"/>
          <w:color w:val="auto"/>
          <w:sz w:val="28"/>
          <w:szCs w:val="28"/>
          <w:highlight w:val="none"/>
        </w:rPr>
      </w:pPr>
    </w:p>
    <w:p>
      <w:pPr>
        <w:spacing w:before="0" w:beforeLines="-2147483648" w:after="0" w:afterLines="-2147483648" w:line="240" w:lineRule="auto"/>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br w:type="page"/>
      </w:r>
    </w:p>
    <w:p>
      <w:pPr>
        <w:spacing w:before="0" w:beforeLines="-2147483648" w:after="0" w:afterLines="-2147483648" w:line="240" w:lineRule="auto"/>
        <w:ind w:firstLine="0" w:firstLineChars="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报价函</w:t>
      </w:r>
    </w:p>
    <w:p>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致：</w:t>
      </w:r>
      <w:r>
        <w:rPr>
          <w:rFonts w:hint="eastAsia" w:ascii="仿宋_GB2312" w:hAnsi="仿宋_GB2312" w:eastAsia="仿宋_GB2312" w:cs="仿宋_GB2312"/>
          <w:color w:val="auto"/>
          <w:sz w:val="24"/>
          <w:szCs w:val="21"/>
          <w:highlight w:val="none"/>
          <w:u w:val="single"/>
        </w:rPr>
        <w:t xml:space="preserve">                      </w:t>
      </w:r>
      <w:r>
        <w:rPr>
          <w:rFonts w:hint="eastAsia" w:ascii="仿宋_GB2312" w:hAnsi="仿宋_GB2312" w:eastAsia="仿宋_GB2312" w:cs="仿宋_GB2312"/>
          <w:color w:val="auto"/>
          <w:sz w:val="24"/>
          <w:szCs w:val="21"/>
          <w:highlight w:val="none"/>
        </w:rPr>
        <w:t>（采购人）</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根据贵方</w:t>
      </w:r>
      <w:r>
        <w:rPr>
          <w:rFonts w:hint="eastAsia" w:ascii="仿宋_GB2312" w:hAnsi="仿宋_GB2312" w:eastAsia="仿宋_GB2312" w:cs="仿宋_GB2312"/>
          <w:color w:val="auto"/>
          <w:sz w:val="24"/>
          <w:szCs w:val="21"/>
          <w:highlight w:val="none"/>
          <w:u w:val="single"/>
        </w:rPr>
        <w:t xml:space="preserve">（项目名称）               </w:t>
      </w:r>
      <w:r>
        <w:rPr>
          <w:rFonts w:hint="eastAsia" w:ascii="仿宋_GB2312" w:hAnsi="仿宋_GB2312" w:eastAsia="仿宋_GB2312" w:cs="仿宋_GB2312"/>
          <w:color w:val="auto"/>
          <w:sz w:val="24"/>
          <w:szCs w:val="21"/>
          <w:highlight w:val="none"/>
        </w:rPr>
        <w:t>项目采购的邀请，正式授权下述签字人</w:t>
      </w:r>
      <w:r>
        <w:rPr>
          <w:rFonts w:hint="eastAsia" w:ascii="仿宋_GB2312" w:hAnsi="仿宋_GB2312" w:eastAsia="仿宋_GB2312" w:cs="仿宋_GB2312"/>
          <w:color w:val="auto"/>
          <w:sz w:val="24"/>
          <w:szCs w:val="21"/>
          <w:highlight w:val="none"/>
          <w:u w:val="single"/>
        </w:rPr>
        <w:t xml:space="preserve">   （姓名和职务）     </w:t>
      </w:r>
      <w:r>
        <w:rPr>
          <w:rFonts w:hint="eastAsia" w:ascii="仿宋_GB2312" w:hAnsi="仿宋_GB2312" w:eastAsia="仿宋_GB2312" w:cs="仿宋_GB2312"/>
          <w:color w:val="auto"/>
          <w:sz w:val="24"/>
          <w:szCs w:val="21"/>
          <w:highlight w:val="none"/>
        </w:rPr>
        <w:t>全权代表竞标供应商</w:t>
      </w:r>
      <w:r>
        <w:rPr>
          <w:rFonts w:hint="eastAsia" w:ascii="仿宋_GB2312" w:hAnsi="仿宋_GB2312" w:eastAsia="仿宋_GB2312" w:cs="仿宋_GB2312"/>
          <w:color w:val="auto"/>
          <w:sz w:val="24"/>
          <w:szCs w:val="21"/>
          <w:highlight w:val="none"/>
          <w:u w:val="single"/>
        </w:rPr>
        <w:t xml:space="preserve">  （供应商名称、地址）   </w:t>
      </w:r>
      <w:r>
        <w:rPr>
          <w:rFonts w:hint="eastAsia" w:ascii="仿宋_GB2312" w:hAnsi="仿宋_GB2312" w:eastAsia="仿宋_GB2312" w:cs="仿宋_GB2312"/>
          <w:color w:val="auto"/>
          <w:sz w:val="24"/>
          <w:szCs w:val="21"/>
          <w:highlight w:val="none"/>
        </w:rPr>
        <w:t>参加贵方组织的有关采购活动。</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1.提供采购文件规定的全部响应文件；</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2.报价为（固定总价）      万元。</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在此，授权代表宣布同意如下：</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1. 将按采购文件的约定履行合同责任和义务；</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 已详细审查全部采购文件，包括（补遗书）（如果有的话）；我们完全理解并同意放弃对这方面有不明及误解的权力；</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3. 愿意向贵方提供任何与该项邀请采购有关的数据、情况和技术资料。  </w:t>
      </w:r>
    </w:p>
    <w:p>
      <w:pPr>
        <w:spacing w:line="560" w:lineRule="exact"/>
        <w:ind w:firstLine="480" w:firstLineChars="200"/>
        <w:jc w:val="left"/>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地址：</w:t>
      </w:r>
      <w:r>
        <w:rPr>
          <w:rFonts w:hint="eastAsia" w:ascii="仿宋_GB2312" w:hAnsi="仿宋_GB2312" w:eastAsia="仿宋_GB2312" w:cs="仿宋_GB2312"/>
          <w:color w:val="auto"/>
          <w:sz w:val="24"/>
          <w:szCs w:val="21"/>
          <w:highlight w:val="none"/>
          <w:u w:val="single"/>
        </w:rPr>
        <w:t xml:space="preserve">                    </w:t>
      </w:r>
      <w:r>
        <w:rPr>
          <w:rFonts w:hint="eastAsia" w:ascii="仿宋_GB2312" w:hAnsi="仿宋_GB2312" w:eastAsia="仿宋_GB2312" w:cs="仿宋_GB2312"/>
          <w:color w:val="auto"/>
          <w:sz w:val="24"/>
          <w:szCs w:val="21"/>
          <w:highlight w:val="none"/>
        </w:rPr>
        <w:t>邮政编码：</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电话：</w:t>
      </w:r>
      <w:r>
        <w:rPr>
          <w:rFonts w:hint="eastAsia" w:ascii="仿宋_GB2312" w:hAnsi="仿宋_GB2312" w:eastAsia="仿宋_GB2312" w:cs="仿宋_GB2312"/>
          <w:color w:val="auto"/>
          <w:sz w:val="24"/>
          <w:szCs w:val="21"/>
          <w:highlight w:val="none"/>
          <w:u w:val="single"/>
        </w:rPr>
        <w:t xml:space="preserve">                    </w:t>
      </w:r>
      <w:r>
        <w:rPr>
          <w:rFonts w:hint="eastAsia" w:ascii="仿宋_GB2312" w:hAnsi="仿宋_GB2312" w:eastAsia="仿宋_GB2312" w:cs="仿宋_GB2312"/>
          <w:color w:val="auto"/>
          <w:sz w:val="24"/>
          <w:szCs w:val="21"/>
          <w:highlight w:val="none"/>
        </w:rPr>
        <w:t>传真：</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开户名称：</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开户银行：</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帐    号：</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法定代表人或其委托代理人签字：</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供应商名称（盖单位公章）：</w:t>
      </w:r>
      <w:r>
        <w:rPr>
          <w:rFonts w:hint="eastAsia" w:ascii="仿宋_GB2312" w:hAnsi="仿宋_GB2312" w:eastAsia="仿宋_GB2312" w:cs="仿宋_GB2312"/>
          <w:color w:val="auto"/>
          <w:sz w:val="24"/>
          <w:szCs w:val="21"/>
          <w:highlight w:val="none"/>
          <w:u w:val="single"/>
        </w:rPr>
        <w:t xml:space="preserve">                                            </w:t>
      </w:r>
    </w:p>
    <w:p>
      <w:pPr>
        <w:widowControl/>
        <w:spacing w:line="360" w:lineRule="auto"/>
        <w:ind w:firstLine="480" w:firstLineChars="200"/>
        <w:rPr>
          <w:rFonts w:hint="eastAsia" w:ascii="仿宋_GB2312" w:hAnsi="仿宋_GB2312" w:eastAsia="仿宋_GB2312" w:cs="仿宋_GB2312"/>
          <w:color w:val="auto"/>
          <w:sz w:val="24"/>
          <w:szCs w:val="21"/>
          <w:highlight w:val="none"/>
          <w:u w:val="single"/>
        </w:rPr>
      </w:pPr>
      <w:r>
        <w:rPr>
          <w:rFonts w:hint="eastAsia" w:ascii="仿宋_GB2312" w:hAnsi="仿宋_GB2312" w:eastAsia="仿宋_GB2312" w:cs="仿宋_GB2312"/>
          <w:color w:val="auto"/>
          <w:sz w:val="24"/>
          <w:szCs w:val="21"/>
          <w:highlight w:val="none"/>
        </w:rPr>
        <w:t>日期：</w:t>
      </w:r>
      <w:r>
        <w:rPr>
          <w:rFonts w:hint="eastAsia" w:ascii="仿宋_GB2312" w:hAnsi="仿宋_GB2312" w:eastAsia="仿宋_GB2312" w:cs="仿宋_GB2312"/>
          <w:color w:val="auto"/>
          <w:sz w:val="24"/>
          <w:szCs w:val="21"/>
          <w:highlight w:val="none"/>
          <w:u w:val="single"/>
        </w:rPr>
        <w:t xml:space="preserve">      年   月    日</w:t>
      </w:r>
    </w:p>
    <w:p>
      <w:pPr>
        <w:spacing w:line="578" w:lineRule="exact"/>
        <w:ind w:firstLine="640" w:firstLineChars="200"/>
        <w:jc w:val="left"/>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 xml:space="preserve"> </w:t>
      </w:r>
    </w:p>
    <w:p>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p>
    <w:p>
      <w:pPr>
        <w:spacing w:before="0" w:beforeLines="-2147483648" w:after="0" w:afterLines="-2147483648" w:line="240" w:lineRule="auto"/>
        <w:ind w:firstLine="0" w:firstLineChars="0"/>
        <w:jc w:val="left"/>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br w:type="page"/>
      </w:r>
    </w:p>
    <w:p>
      <w:pPr>
        <w:spacing w:before="156" w:beforeLines="50" w:after="156" w:afterLines="50" w:line="560" w:lineRule="exact"/>
        <w:ind w:left="0" w:leftChars="0" w:firstLine="0" w:firstLineChars="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报价表</w:t>
      </w:r>
    </w:p>
    <w:p>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pPr>
        <w:spacing w:line="500" w:lineRule="exact"/>
        <w:jc w:val="lef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采购项目名称:</w:t>
      </w:r>
      <w:r>
        <w:rPr>
          <w:rFonts w:hint="eastAsia" w:ascii="仿宋_GB2312" w:hAnsi="仿宋" w:eastAsia="仿宋_GB2312"/>
          <w:color w:val="auto"/>
          <w:sz w:val="28"/>
          <w:szCs w:val="21"/>
          <w:highlight w:val="none"/>
          <w:u w:val="single"/>
        </w:rPr>
        <w:t xml:space="preserve">                 </w:t>
      </w:r>
      <w:r>
        <w:rPr>
          <w:rFonts w:hint="eastAsia" w:ascii="仿宋_GB2312" w:hAnsi="仿宋" w:eastAsia="仿宋_GB2312"/>
          <w:color w:val="auto"/>
          <w:sz w:val="28"/>
          <w:szCs w:val="21"/>
          <w:highlight w:val="none"/>
        </w:rPr>
        <w:t xml:space="preserve">     </w:t>
      </w:r>
    </w:p>
    <w:tbl>
      <w:tblPr>
        <w:tblStyle w:val="1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482"/>
        <w:gridCol w:w="1155"/>
        <w:gridCol w:w="1470"/>
        <w:gridCol w:w="2130"/>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项</w:t>
            </w:r>
            <w:r>
              <w:rPr>
                <w:rFonts w:hint="eastAsia" w:ascii="仿宋_GB2312" w:hAnsi="仿宋" w:eastAsia="仿宋_GB2312"/>
                <w:color w:val="auto"/>
                <w:sz w:val="28"/>
                <w:szCs w:val="21"/>
                <w:highlight w:val="none"/>
                <w:lang w:eastAsia="zh-CN"/>
              </w:rPr>
              <w:t>项</w:t>
            </w:r>
            <w:r>
              <w:rPr>
                <w:rFonts w:hint="eastAsia" w:ascii="仿宋_GB2312" w:hAnsi="仿宋" w:eastAsia="仿宋_GB2312"/>
                <w:color w:val="auto"/>
                <w:sz w:val="28"/>
                <w:szCs w:val="21"/>
                <w:highlight w:val="none"/>
              </w:rPr>
              <w:t>号</w:t>
            </w:r>
          </w:p>
        </w:tc>
        <w:tc>
          <w:tcPr>
            <w:tcW w:w="2482"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采购内容</w:t>
            </w:r>
          </w:p>
        </w:tc>
        <w:tc>
          <w:tcPr>
            <w:tcW w:w="1155"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280" w:firstLineChars="1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数量</w:t>
            </w:r>
          </w:p>
          <w:p>
            <w:pPr>
              <w:spacing w:line="560" w:lineRule="exact"/>
              <w:ind w:firstLine="280" w:firstLineChars="1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①</w:t>
            </w:r>
          </w:p>
        </w:tc>
        <w:tc>
          <w:tcPr>
            <w:tcW w:w="1470" w:type="dxa"/>
            <w:tcBorders>
              <w:top w:val="single" w:color="auto" w:sz="4" w:space="0"/>
              <w:left w:val="nil"/>
              <w:bottom w:val="single" w:color="auto" w:sz="4" w:space="0"/>
              <w:right w:val="single" w:color="auto" w:sz="4" w:space="0"/>
              <w:tl2br w:val="nil"/>
              <w:tr2bl w:val="nil"/>
            </w:tcBorders>
            <w:vAlign w:val="center"/>
          </w:tcPr>
          <w:p>
            <w:pPr>
              <w:spacing w:line="560" w:lineRule="exac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单价（元）</w:t>
            </w:r>
          </w:p>
          <w:p>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②</w:t>
            </w:r>
          </w:p>
        </w:tc>
        <w:tc>
          <w:tcPr>
            <w:tcW w:w="2130" w:type="dxa"/>
            <w:tcBorders>
              <w:top w:val="single" w:color="auto" w:sz="4" w:space="0"/>
              <w:left w:val="nil"/>
              <w:bottom w:val="single" w:color="auto" w:sz="4" w:space="0"/>
              <w:right w:val="single" w:color="auto" w:sz="4" w:space="0"/>
              <w:tl2br w:val="nil"/>
              <w:tr2bl w:val="nil"/>
            </w:tcBorders>
            <w:vAlign w:val="center"/>
          </w:tcPr>
          <w:p>
            <w:pPr>
              <w:spacing w:line="560" w:lineRule="exac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单项合价（元）</w:t>
            </w:r>
          </w:p>
          <w:p>
            <w:pPr>
              <w:spacing w:line="560" w:lineRule="exact"/>
              <w:ind w:firstLine="280" w:firstLineChars="1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③=①×②</w:t>
            </w:r>
          </w:p>
        </w:tc>
        <w:tc>
          <w:tcPr>
            <w:tcW w:w="1857"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1</w:t>
            </w:r>
          </w:p>
        </w:tc>
        <w:tc>
          <w:tcPr>
            <w:tcW w:w="2482"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2</w:t>
            </w:r>
          </w:p>
        </w:tc>
        <w:tc>
          <w:tcPr>
            <w:tcW w:w="2482"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3</w:t>
            </w:r>
          </w:p>
        </w:tc>
        <w:tc>
          <w:tcPr>
            <w:tcW w:w="2482"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w:t>
            </w:r>
          </w:p>
        </w:tc>
        <w:tc>
          <w:tcPr>
            <w:tcW w:w="2482"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N</w:t>
            </w:r>
          </w:p>
        </w:tc>
        <w:tc>
          <w:tcPr>
            <w:tcW w:w="2482"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jc w:val="center"/>
              <w:rPr>
                <w:rFonts w:hint="eastAsia" w:ascii="仿宋_GB2312" w:hAnsi="仿宋" w:eastAsia="仿宋_GB2312"/>
                <w:color w:val="auto"/>
                <w:sz w:val="28"/>
                <w:szCs w:val="21"/>
                <w:highlight w:val="none"/>
              </w:rPr>
            </w:pPr>
          </w:p>
        </w:tc>
        <w:tc>
          <w:tcPr>
            <w:tcW w:w="1155"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47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2130"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c>
          <w:tcPr>
            <w:tcW w:w="1857" w:type="dxa"/>
            <w:tcBorders>
              <w:top w:val="single" w:color="auto" w:sz="4" w:space="0"/>
              <w:left w:val="nil"/>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39"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jc w:val="left"/>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39"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服务完成时间： </w:t>
            </w:r>
          </w:p>
        </w:tc>
      </w:tr>
    </w:tbl>
    <w:p>
      <w:pPr>
        <w:spacing w:line="56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pPr>
        <w:spacing w:line="520"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pPr>
        <w:spacing w:line="560" w:lineRule="exact"/>
        <w:ind w:firstLine="560" w:firstLineChars="200"/>
        <w:rPr>
          <w:rFonts w:hint="eastAsia" w:ascii="仿宋_GB2312" w:hAnsi="仿宋" w:eastAsia="仿宋_GB2312"/>
          <w:color w:val="auto"/>
          <w:sz w:val="28"/>
          <w:szCs w:val="21"/>
          <w:highlight w:val="none"/>
          <w:u w:val="single"/>
        </w:rPr>
      </w:pPr>
      <w:r>
        <w:rPr>
          <w:rFonts w:hint="eastAsia" w:ascii="仿宋_GB2312" w:hAnsi="仿宋" w:eastAsia="仿宋_GB2312"/>
          <w:color w:val="auto"/>
          <w:sz w:val="28"/>
          <w:szCs w:val="21"/>
          <w:highlight w:val="none"/>
        </w:rPr>
        <w:t>法定代表人或法定代表人授权代表签字：</w:t>
      </w:r>
      <w:r>
        <w:rPr>
          <w:rFonts w:hint="eastAsia" w:ascii="仿宋_GB2312" w:hAnsi="仿宋" w:eastAsia="仿宋_GB2312"/>
          <w:color w:val="auto"/>
          <w:sz w:val="28"/>
          <w:szCs w:val="21"/>
          <w:highlight w:val="none"/>
          <w:u w:val="single"/>
        </w:rPr>
        <w:t xml:space="preserve">        </w:t>
      </w:r>
    </w:p>
    <w:p>
      <w:pPr>
        <w:spacing w:line="560" w:lineRule="exact"/>
        <w:ind w:firstLine="560" w:firstLineChars="200"/>
        <w:rPr>
          <w:rFonts w:hint="eastAsia" w:ascii="仿宋_GB2312" w:hAnsi="仿宋" w:eastAsia="仿宋_GB2312"/>
          <w:color w:val="auto"/>
          <w:sz w:val="28"/>
          <w:szCs w:val="21"/>
          <w:highlight w:val="none"/>
          <w:u w:val="single"/>
        </w:rPr>
      </w:pPr>
      <w:r>
        <w:rPr>
          <w:rFonts w:hint="eastAsia" w:ascii="仿宋_GB2312" w:hAnsi="仿宋" w:eastAsia="仿宋_GB2312"/>
          <w:color w:val="auto"/>
          <w:sz w:val="28"/>
          <w:szCs w:val="21"/>
          <w:highlight w:val="none"/>
        </w:rPr>
        <w:t>供应商名称（盖章）：</w:t>
      </w:r>
      <w:r>
        <w:rPr>
          <w:rFonts w:hint="eastAsia" w:ascii="仿宋_GB2312" w:hAnsi="仿宋" w:eastAsia="仿宋_GB2312"/>
          <w:color w:val="auto"/>
          <w:sz w:val="28"/>
          <w:szCs w:val="21"/>
          <w:highlight w:val="none"/>
          <w:u w:val="single"/>
        </w:rPr>
        <w:t xml:space="preserve">               </w:t>
      </w:r>
    </w:p>
    <w:p>
      <w:pPr>
        <w:spacing w:line="560" w:lineRule="exact"/>
        <w:ind w:firstLine="560" w:firstLineChars="200"/>
        <w:rPr>
          <w:rFonts w:hint="eastAsia" w:ascii="仿宋_GB2312" w:hAnsi="宋体" w:eastAsia="仿宋_GB2312"/>
          <w:color w:val="auto"/>
          <w:szCs w:val="21"/>
          <w:highlight w:val="none"/>
        </w:rPr>
      </w:pPr>
      <w:r>
        <w:rPr>
          <w:rFonts w:hint="eastAsia" w:ascii="仿宋_GB2312" w:hAnsi="仿宋" w:eastAsia="仿宋_GB2312"/>
          <w:color w:val="auto"/>
          <w:sz w:val="28"/>
          <w:szCs w:val="21"/>
          <w:highlight w:val="none"/>
        </w:rPr>
        <w:t>日   期：</w:t>
      </w:r>
      <w:r>
        <w:rPr>
          <w:rFonts w:hint="eastAsia" w:ascii="仿宋_GB2312" w:hAnsi="仿宋" w:eastAsia="仿宋_GB2312"/>
          <w:color w:val="auto"/>
          <w:sz w:val="28"/>
          <w:szCs w:val="21"/>
          <w:highlight w:val="none"/>
          <w:u w:val="single"/>
        </w:rPr>
        <w:t xml:space="preserve">                            </w:t>
      </w:r>
    </w:p>
    <w:p>
      <w:pPr>
        <w:spacing w:line="300" w:lineRule="auto"/>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br w:type="page"/>
      </w:r>
    </w:p>
    <w:p>
      <w:pPr>
        <w:spacing w:before="156" w:beforeLines="50" w:after="156" w:afterLines="50" w:line="560" w:lineRule="exact"/>
        <w:ind w:firstLine="883" w:firstLineChars="200"/>
        <w:jc w:val="center"/>
        <w:rPr>
          <w:rFonts w:hint="eastAsia" w:ascii="仿宋_GB2312" w:hAnsi="宋体" w:eastAsia="仿宋_GB2312"/>
          <w:b/>
          <w:color w:val="auto"/>
          <w:sz w:val="44"/>
          <w:szCs w:val="21"/>
          <w:highlight w:val="none"/>
        </w:rPr>
      </w:pPr>
    </w:p>
    <w:p>
      <w:pPr>
        <w:spacing w:before="156" w:beforeLines="50" w:after="156" w:afterLines="50" w:line="560" w:lineRule="exact"/>
        <w:ind w:left="0" w:leftChars="0" w:firstLine="0" w:firstLineChars="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法人授权委托书</w:t>
      </w:r>
    </w:p>
    <w:p>
      <w:pPr>
        <w:adjustRightInd w:val="0"/>
        <w:snapToGrid w:val="0"/>
        <w:spacing w:line="520" w:lineRule="exact"/>
        <w:ind w:firstLine="480" w:firstLineChars="200"/>
        <w:rPr>
          <w:rFonts w:hint="eastAsia" w:ascii="仿宋_GB2312" w:hAnsi="宋体" w:eastAsia="仿宋_GB2312"/>
          <w:color w:val="auto"/>
          <w:sz w:val="24"/>
          <w:szCs w:val="21"/>
          <w:highlight w:val="none"/>
        </w:rPr>
      </w:pPr>
      <w:r>
        <w:rPr>
          <w:rFonts w:hint="eastAsia" w:ascii="仿宋_GB2312" w:hAnsi="宋体" w:eastAsia="仿宋_GB2312"/>
          <w:color w:val="auto"/>
          <w:sz w:val="24"/>
          <w:szCs w:val="21"/>
          <w:highlight w:val="none"/>
        </w:rPr>
        <w:t xml:space="preserve"> </w:t>
      </w:r>
    </w:p>
    <w:p>
      <w:pPr>
        <w:spacing w:line="360" w:lineRule="auto"/>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本授权委托书声明：兹授权</w:t>
      </w:r>
      <w:r>
        <w:rPr>
          <w:rFonts w:hint="eastAsia" w:ascii="仿宋_GB2312" w:hAnsi="宋体" w:eastAsia="仿宋_GB2312"/>
          <w:color w:val="auto"/>
          <w:sz w:val="28"/>
          <w:szCs w:val="21"/>
          <w:highlight w:val="none"/>
          <w:u w:val="single"/>
        </w:rPr>
        <w:t>（姓名）(身份证号码：XXXXX)</w:t>
      </w:r>
      <w:r>
        <w:rPr>
          <w:rFonts w:hint="eastAsia" w:ascii="仿宋_GB2312" w:hAnsi="宋体" w:eastAsia="仿宋_GB2312"/>
          <w:color w:val="auto"/>
          <w:sz w:val="28"/>
          <w:szCs w:val="21"/>
          <w:highlight w:val="none"/>
        </w:rPr>
        <w:t>为我公司参加贵单位组织的</w:t>
      </w:r>
      <w:r>
        <w:rPr>
          <w:rFonts w:hint="eastAsia" w:ascii="仿宋_GB2312" w:hAnsi="宋体" w:eastAsia="仿宋_GB2312"/>
          <w:color w:val="auto"/>
          <w:sz w:val="28"/>
          <w:szCs w:val="21"/>
          <w:highlight w:val="none"/>
          <w:u w:val="single"/>
        </w:rPr>
        <w:t>（项    目    名   称）</w:t>
      </w:r>
      <w:r>
        <w:rPr>
          <w:rFonts w:hint="eastAsia" w:ascii="仿宋_GB2312" w:hAnsi="宋体" w:eastAsia="仿宋_GB2312"/>
          <w:color w:val="auto"/>
          <w:sz w:val="28"/>
          <w:szCs w:val="21"/>
          <w:highlight w:val="none"/>
        </w:rPr>
        <w:t>采购活动的竞标代表人，全权代表我公司处理在该项目活动中的一切事宜。代理期限从</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年</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月</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日起至</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年</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月</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日止。</w:t>
      </w:r>
    </w:p>
    <w:p>
      <w:pPr>
        <w:spacing w:line="520"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p>
      <w:pPr>
        <w:spacing w:line="520" w:lineRule="exact"/>
        <w:ind w:firstLine="560" w:firstLineChars="200"/>
        <w:jc w:val="righ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授权单位（签章）：</w:t>
      </w:r>
      <w:r>
        <w:rPr>
          <w:rFonts w:hint="eastAsia" w:ascii="仿宋_GB2312" w:hAnsi="宋体" w:eastAsia="仿宋_GB2312"/>
          <w:color w:val="auto"/>
          <w:sz w:val="28"/>
          <w:szCs w:val="21"/>
          <w:highlight w:val="none"/>
          <w:u w:val="single"/>
        </w:rPr>
        <w:t xml:space="preserve">               </w:t>
      </w:r>
    </w:p>
    <w:p>
      <w:pPr>
        <w:spacing w:line="520" w:lineRule="exact"/>
        <w:ind w:firstLine="560" w:firstLineChars="200"/>
        <w:jc w:val="righ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法定代表人（签字或盖章）：</w:t>
      </w:r>
      <w:r>
        <w:rPr>
          <w:rFonts w:hint="eastAsia" w:ascii="仿宋_GB2312" w:hAnsi="宋体" w:eastAsia="仿宋_GB2312"/>
          <w:color w:val="auto"/>
          <w:sz w:val="28"/>
          <w:szCs w:val="21"/>
          <w:highlight w:val="none"/>
          <w:u w:val="single"/>
        </w:rPr>
        <w:t xml:space="preserve">       </w:t>
      </w:r>
    </w:p>
    <w:p>
      <w:pPr>
        <w:spacing w:line="520" w:lineRule="exact"/>
        <w:ind w:firstLine="560" w:firstLineChars="200"/>
        <w:jc w:val="righ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授权委托日期：</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年</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月</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日</w:t>
      </w:r>
    </w:p>
    <w:p>
      <w:pPr>
        <w:spacing w:line="520"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tbl>
      <w:tblPr>
        <w:tblStyle w:val="14"/>
        <w:tblW w:w="86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l2br w:val="nil"/>
              <w:tr2bl w:val="nil"/>
            </w:tcBorders>
          </w:tcPr>
          <w:p>
            <w:pPr>
              <w:spacing w:line="300" w:lineRule="auto"/>
              <w:ind w:firstLine="480" w:firstLineChars="200"/>
              <w:rPr>
                <w:rFonts w:hint="eastAsia" w:ascii="仿宋_GB2312" w:hAnsi="宋体" w:eastAsia="仿宋_GB2312"/>
                <w:color w:val="auto"/>
                <w:sz w:val="24"/>
                <w:szCs w:val="21"/>
                <w:highlight w:val="none"/>
              </w:rPr>
            </w:pPr>
            <w:r>
              <w:rPr>
                <w:rFonts w:hint="eastAsia" w:ascii="仿宋_GB2312" w:hAnsi="宋体" w:eastAsia="仿宋_GB2312"/>
                <w:color w:val="auto"/>
                <w:sz w:val="24"/>
                <w:szCs w:val="21"/>
                <w:highlight w:val="none"/>
              </w:rPr>
              <w:t>法定代表人身份证（复印件）粘贴处：</w:t>
            </w: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p>
          <w:p>
            <w:pPr>
              <w:spacing w:line="300" w:lineRule="auto"/>
              <w:ind w:firstLine="480" w:firstLineChars="200"/>
              <w:rPr>
                <w:rFonts w:hint="eastAsia" w:ascii="仿宋_GB2312" w:hAnsi="宋体" w:eastAsia="仿宋_GB2312"/>
                <w:color w:val="auto"/>
                <w:sz w:val="24"/>
                <w:szCs w:val="21"/>
                <w:highlight w:val="none"/>
              </w:rPr>
            </w:pPr>
            <w:r>
              <w:rPr>
                <w:rFonts w:hint="eastAsia" w:ascii="仿宋_GB2312" w:hAnsi="宋体" w:eastAsia="仿宋_GB2312"/>
                <w:color w:val="auto"/>
                <w:sz w:val="24"/>
                <w:szCs w:val="21"/>
                <w:highlight w:val="none"/>
              </w:rPr>
              <w:t>被授权人身份证（复印件）粘贴处：</w:t>
            </w:r>
          </w:p>
        </w:tc>
      </w:tr>
    </w:tbl>
    <w:p>
      <w:pPr>
        <w:spacing w:before="156" w:beforeLines="50" w:after="156" w:afterLines="50" w:line="560" w:lineRule="exact"/>
        <w:ind w:firstLine="640" w:firstLineChars="200"/>
        <w:jc w:val="left"/>
        <w:rPr>
          <w:rFonts w:hint="eastAsia" w:ascii="仿宋_GB2312" w:hAnsi="宋体" w:eastAsia="仿宋_GB2312"/>
          <w:color w:val="auto"/>
          <w:sz w:val="32"/>
          <w:szCs w:val="21"/>
          <w:highlight w:val="none"/>
        </w:rPr>
      </w:pPr>
    </w:p>
    <w:p>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p>
    <w:p>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p>
    <w:p>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技术响应、偏离情况说明表</w:t>
      </w:r>
    </w:p>
    <w:p>
      <w:pPr>
        <w:adjustRightInd w:val="0"/>
        <w:snapToGrid w:val="0"/>
        <w:spacing w:line="578" w:lineRule="exact"/>
        <w:ind w:firstLine="560" w:firstLineChars="200"/>
        <w:rPr>
          <w:rFonts w:hint="eastAsia" w:ascii="仿宋_GB2312" w:hAnsi="宋体" w:eastAsia="仿宋_GB2312"/>
          <w:color w:val="auto"/>
          <w:sz w:val="28"/>
          <w:szCs w:val="21"/>
          <w:highlight w:val="none"/>
        </w:rPr>
      </w:pPr>
    </w:p>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采购项目名称:</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 xml:space="preserve">     </w:t>
      </w:r>
    </w:p>
    <w:tbl>
      <w:tblPr>
        <w:tblStyle w:val="14"/>
        <w:tblW w:w="857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1672"/>
        <w:gridCol w:w="2100"/>
        <w:gridCol w:w="1648"/>
        <w:gridCol w:w="9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4" w:space="0"/>
              <w:left w:val="single" w:color="auto" w:sz="4" w:space="0"/>
              <w:bottom w:val="single" w:color="auto" w:sz="6" w:space="0"/>
              <w:right w:val="single" w:color="auto" w:sz="6" w:space="0"/>
              <w:tl2br w:val="nil"/>
              <w:tr2bl w:val="nil"/>
            </w:tcBorders>
            <w:vAlign w:val="center"/>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序号</w:t>
            </w:r>
          </w:p>
        </w:tc>
        <w:tc>
          <w:tcPr>
            <w:tcW w:w="1410"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服务名称</w:t>
            </w:r>
          </w:p>
        </w:tc>
        <w:tc>
          <w:tcPr>
            <w:tcW w:w="1672"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响应文件要求</w:t>
            </w:r>
          </w:p>
        </w:tc>
        <w:tc>
          <w:tcPr>
            <w:tcW w:w="2100"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响应文件具体响应</w:t>
            </w:r>
          </w:p>
        </w:tc>
        <w:tc>
          <w:tcPr>
            <w:tcW w:w="1648"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响应/偏离</w:t>
            </w:r>
          </w:p>
        </w:tc>
        <w:tc>
          <w:tcPr>
            <w:tcW w:w="924" w:type="dxa"/>
            <w:tcBorders>
              <w:top w:val="single" w:color="auto" w:sz="4" w:space="0"/>
              <w:left w:val="single" w:color="auto" w:sz="6" w:space="0"/>
              <w:bottom w:val="single" w:color="auto" w:sz="6" w:space="0"/>
              <w:right w:val="single" w:color="auto" w:sz="4" w:space="0"/>
              <w:tl2br w:val="nil"/>
              <w:tr2bl w:val="nil"/>
            </w:tcBorders>
            <w:vAlign w:val="center"/>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1</w:t>
            </w:r>
          </w:p>
        </w:tc>
        <w:tc>
          <w:tcPr>
            <w:tcW w:w="1410"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6"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2</w:t>
            </w:r>
          </w:p>
        </w:tc>
        <w:tc>
          <w:tcPr>
            <w:tcW w:w="1410"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6"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3</w:t>
            </w:r>
          </w:p>
        </w:tc>
        <w:tc>
          <w:tcPr>
            <w:tcW w:w="1410"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6"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tcBorders>
              <w:top w:val="single" w:color="auto" w:sz="6" w:space="0"/>
              <w:left w:val="single" w:color="auto" w:sz="4" w:space="0"/>
              <w:bottom w:val="single" w:color="auto" w:sz="4" w:space="0"/>
              <w:right w:val="single" w:color="auto" w:sz="6" w:space="0"/>
              <w:tl2br w:val="nil"/>
              <w:tr2bl w:val="nil"/>
            </w:tcBorders>
            <w:vAlign w:val="center"/>
          </w:tcPr>
          <w:p>
            <w:pPr>
              <w:adjustRightInd w:val="0"/>
              <w:snapToGrid w:val="0"/>
              <w:spacing w:line="578" w:lineRule="exact"/>
              <w:ind w:firstLine="560" w:firstLineChars="200"/>
              <w:jc w:val="lef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w:t>
            </w:r>
          </w:p>
        </w:tc>
        <w:tc>
          <w:tcPr>
            <w:tcW w:w="1410" w:type="dxa"/>
            <w:tcBorders>
              <w:top w:val="single" w:color="auto" w:sz="6" w:space="0"/>
              <w:left w:val="single" w:color="auto" w:sz="6" w:space="0"/>
              <w:bottom w:val="single" w:color="auto" w:sz="4"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72" w:type="dxa"/>
            <w:tcBorders>
              <w:top w:val="single" w:color="auto" w:sz="6" w:space="0"/>
              <w:left w:val="single" w:color="auto" w:sz="6" w:space="0"/>
              <w:bottom w:val="single" w:color="auto" w:sz="4"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2100" w:type="dxa"/>
            <w:tcBorders>
              <w:top w:val="single" w:color="auto" w:sz="6" w:space="0"/>
              <w:left w:val="single" w:color="auto" w:sz="6" w:space="0"/>
              <w:bottom w:val="single" w:color="auto" w:sz="4"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1648" w:type="dxa"/>
            <w:tcBorders>
              <w:top w:val="single" w:color="auto" w:sz="6" w:space="0"/>
              <w:left w:val="single" w:color="auto" w:sz="6" w:space="0"/>
              <w:bottom w:val="single" w:color="auto" w:sz="4" w:space="0"/>
              <w:right w:val="single" w:color="auto" w:sz="6"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c>
          <w:tcPr>
            <w:tcW w:w="924" w:type="dxa"/>
            <w:tcBorders>
              <w:top w:val="single" w:color="auto" w:sz="6" w:space="0"/>
              <w:left w:val="single" w:color="auto" w:sz="6"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jc w:val="center"/>
              <w:rPr>
                <w:rFonts w:hint="eastAsia" w:ascii="仿宋_GB2312" w:hAnsi="宋体" w:eastAsia="仿宋_GB2312"/>
                <w:color w:val="auto"/>
                <w:sz w:val="28"/>
                <w:szCs w:val="21"/>
                <w:highlight w:val="none"/>
              </w:rPr>
            </w:pPr>
          </w:p>
        </w:tc>
      </w:tr>
    </w:tbl>
    <w:p>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说明：应对照采购</w:t>
      </w:r>
      <w:r>
        <w:rPr>
          <w:rFonts w:hint="eastAsia" w:ascii="仿宋_GB2312" w:hAnsi="仿宋" w:eastAsia="仿宋_GB2312"/>
          <w:color w:val="auto"/>
          <w:sz w:val="28"/>
          <w:szCs w:val="21"/>
          <w:highlight w:val="none"/>
          <w:lang w:val="en-US" w:eastAsia="zh-CN"/>
        </w:rPr>
        <w:t>文件</w:t>
      </w:r>
      <w:r>
        <w:rPr>
          <w:rFonts w:hint="eastAsia" w:ascii="仿宋_GB2312" w:hAnsi="仿宋_GB2312" w:eastAsia="仿宋_GB2312"/>
          <w:b/>
          <w:color w:val="auto"/>
          <w:sz w:val="32"/>
          <w:szCs w:val="21"/>
          <w:highlight w:val="none"/>
        </w:rPr>
        <w:t>“</w:t>
      </w:r>
      <w:r>
        <w:rPr>
          <w:rFonts w:hint="eastAsia" w:ascii="仿宋_GB2312" w:hAnsi="仿宋_GB2312" w:eastAsia="仿宋_GB2312"/>
          <w:color w:val="auto"/>
          <w:sz w:val="28"/>
          <w:szCs w:val="21"/>
          <w:highlight w:val="none"/>
        </w:rPr>
        <w:t>服务内容及要求</w:t>
      </w:r>
      <w:r>
        <w:rPr>
          <w:rFonts w:hint="eastAsia" w:ascii="仿宋_GB2312" w:hAnsi="仿宋" w:eastAsia="仿宋_GB2312"/>
          <w:b/>
          <w:color w:val="auto"/>
          <w:sz w:val="28"/>
          <w:szCs w:val="21"/>
          <w:highlight w:val="none"/>
        </w:rPr>
        <w:t>”</w:t>
      </w:r>
      <w:r>
        <w:rPr>
          <w:rFonts w:hint="eastAsia" w:ascii="仿宋_GB2312" w:hAnsi="仿宋" w:eastAsia="仿宋_GB2312"/>
          <w:color w:val="auto"/>
          <w:sz w:val="28"/>
          <w:szCs w:val="21"/>
          <w:highlight w:val="none"/>
        </w:rPr>
        <w:t>逐条说明所提供服务已对技术规格要求做出了实质性的响应，并申明与技术规格条文的响应和偏离。特别对有具体参数要求的指标，供应商必须提供具体参数值。</w:t>
      </w:r>
    </w:p>
    <w:p>
      <w:pPr>
        <w:adjustRightInd w:val="0"/>
        <w:snapToGrid w:val="0"/>
        <w:spacing w:line="578"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p>
      <w:pPr>
        <w:adjustRightInd w:val="0"/>
        <w:snapToGrid w:val="0"/>
        <w:spacing w:line="578"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 xml:space="preserve"> </w:t>
      </w:r>
    </w:p>
    <w:p>
      <w:pPr>
        <w:adjustRightInd w:val="0"/>
        <w:snapToGrid w:val="0"/>
        <w:spacing w:line="578" w:lineRule="exact"/>
        <w:ind w:firstLine="560" w:firstLineChars="200"/>
        <w:rPr>
          <w:rFonts w:hint="eastAsia" w:ascii="仿宋_GB2312" w:hAnsi="宋体" w:eastAsia="仿宋_GB2312"/>
          <w:color w:val="auto"/>
          <w:sz w:val="28"/>
          <w:szCs w:val="21"/>
          <w:highlight w:val="none"/>
          <w:u w:val="single"/>
        </w:rPr>
      </w:pPr>
      <w:r>
        <w:rPr>
          <w:rFonts w:hint="eastAsia" w:ascii="仿宋_GB2312" w:hAnsi="宋体" w:eastAsia="仿宋_GB2312"/>
          <w:color w:val="auto"/>
          <w:sz w:val="28"/>
          <w:szCs w:val="21"/>
          <w:highlight w:val="none"/>
        </w:rPr>
        <w:t>法定代表人或法定代表人授权代表签字：</w:t>
      </w:r>
      <w:r>
        <w:rPr>
          <w:rFonts w:hint="eastAsia" w:ascii="仿宋_GB2312" w:hAnsi="宋体" w:eastAsia="仿宋_GB2312"/>
          <w:color w:val="auto"/>
          <w:sz w:val="28"/>
          <w:szCs w:val="21"/>
          <w:highlight w:val="none"/>
          <w:u w:val="single"/>
        </w:rPr>
        <w:t xml:space="preserve">        </w:t>
      </w:r>
    </w:p>
    <w:p>
      <w:pPr>
        <w:adjustRightInd w:val="0"/>
        <w:snapToGrid w:val="0"/>
        <w:spacing w:line="578" w:lineRule="exact"/>
        <w:ind w:firstLine="560" w:firstLineChars="200"/>
        <w:rPr>
          <w:rFonts w:ascii="仿宋_GB2312" w:hAnsi="Courier New" w:eastAsia="仿宋_GB2312"/>
          <w:color w:val="auto"/>
          <w:sz w:val="28"/>
          <w:szCs w:val="21"/>
          <w:highlight w:val="none"/>
          <w:u w:val="single"/>
        </w:rPr>
      </w:pPr>
      <w:r>
        <w:rPr>
          <w:rFonts w:hint="eastAsia" w:ascii="仿宋_GB2312" w:hAnsi="宋体" w:eastAsia="仿宋_GB2312"/>
          <w:color w:val="auto"/>
          <w:sz w:val="28"/>
          <w:szCs w:val="21"/>
          <w:highlight w:val="none"/>
        </w:rPr>
        <w:t>供应商名称（盖章）：</w:t>
      </w:r>
      <w:r>
        <w:rPr>
          <w:rFonts w:hint="eastAsia" w:ascii="仿宋_GB2312" w:hAnsi="宋体" w:eastAsia="仿宋_GB2312"/>
          <w:color w:val="auto"/>
          <w:sz w:val="28"/>
          <w:szCs w:val="21"/>
          <w:highlight w:val="none"/>
          <w:u w:val="single"/>
        </w:rPr>
        <w:t xml:space="preserve">               </w:t>
      </w:r>
    </w:p>
    <w:p>
      <w:pPr>
        <w:adjustRightInd w:val="0"/>
        <w:snapToGrid w:val="0"/>
        <w:spacing w:line="578" w:lineRule="exact"/>
        <w:ind w:firstLine="560" w:firstLineChars="200"/>
        <w:rPr>
          <w:rFonts w:hint="eastAsia" w:ascii="仿宋_GB2312" w:hAnsi="宋体" w:eastAsia="仿宋_GB2312"/>
          <w:color w:val="auto"/>
          <w:sz w:val="28"/>
          <w:szCs w:val="21"/>
          <w:highlight w:val="none"/>
          <w:u w:val="single"/>
        </w:rPr>
      </w:pPr>
      <w:r>
        <w:rPr>
          <w:rFonts w:hint="eastAsia" w:ascii="仿宋_GB2312" w:hAnsi="宋体" w:eastAsia="仿宋_GB2312"/>
          <w:color w:val="auto"/>
          <w:sz w:val="28"/>
          <w:szCs w:val="21"/>
          <w:highlight w:val="none"/>
        </w:rPr>
        <w:t>日   期：</w:t>
      </w:r>
      <w:r>
        <w:rPr>
          <w:rFonts w:hint="eastAsia" w:ascii="仿宋_GB2312" w:hAnsi="Courier New" w:eastAsia="仿宋_GB2312"/>
          <w:color w:val="auto"/>
          <w:sz w:val="28"/>
          <w:szCs w:val="21"/>
          <w:highlight w:val="none"/>
          <w:u w:val="single"/>
        </w:rPr>
        <w:t xml:space="preserve">                            </w:t>
      </w:r>
    </w:p>
    <w:p>
      <w:pPr>
        <w:spacing w:line="560" w:lineRule="exact"/>
        <w:ind w:firstLine="420" w:firstLineChars="200"/>
        <w:rPr>
          <w:rFonts w:ascii="Times New Roman" w:hAnsi="Times New Roman" w:eastAsia="仿宋"/>
          <w:color w:val="auto"/>
          <w:szCs w:val="21"/>
          <w:highlight w:val="none"/>
        </w:rPr>
      </w:pPr>
      <w:r>
        <w:rPr>
          <w:rFonts w:ascii="Times New Roman" w:hAnsi="Times New Roman" w:eastAsia="仿宋"/>
          <w:color w:val="auto"/>
          <w:szCs w:val="21"/>
          <w:highlight w:val="none"/>
        </w:rPr>
        <w:t xml:space="preserve"> </w:t>
      </w:r>
    </w:p>
    <w:p>
      <w:pPr>
        <w:adjustRightInd w:val="0"/>
        <w:snapToGrid w:val="0"/>
        <w:spacing w:line="578"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 xml:space="preserve"> </w:t>
      </w:r>
    </w:p>
    <w:p>
      <w:pPr>
        <w:adjustRightInd w:val="0"/>
        <w:snapToGrid w:val="0"/>
        <w:spacing w:line="578" w:lineRule="exact"/>
        <w:ind w:firstLine="883" w:firstLineChars="200"/>
        <w:jc w:val="center"/>
        <w:rPr>
          <w:rFonts w:hint="eastAsia" w:ascii="仿宋_GB2312" w:hAnsi="宋体" w:eastAsia="仿宋_GB2312"/>
          <w:b/>
          <w:color w:val="auto"/>
          <w:sz w:val="44"/>
          <w:szCs w:val="21"/>
          <w:highlight w:val="none"/>
        </w:rPr>
      </w:pPr>
    </w:p>
    <w:p>
      <w:pPr>
        <w:adjustRightInd w:val="0"/>
        <w:snapToGrid w:val="0"/>
        <w:spacing w:line="578" w:lineRule="exact"/>
        <w:ind w:firstLine="883" w:firstLineChars="200"/>
        <w:rPr>
          <w:rFonts w:hint="eastAsia" w:ascii="仿宋_GB2312" w:hAnsi="宋体" w:eastAsia="仿宋_GB2312"/>
          <w:b/>
          <w:color w:val="auto"/>
          <w:sz w:val="44"/>
          <w:szCs w:val="21"/>
          <w:highlight w:val="none"/>
        </w:rPr>
      </w:pPr>
    </w:p>
    <w:p>
      <w:pPr>
        <w:adjustRightInd w:val="0"/>
        <w:snapToGrid w:val="0"/>
        <w:spacing w:line="578" w:lineRule="exact"/>
        <w:ind w:firstLine="2650" w:firstLineChars="600"/>
        <w:rPr>
          <w:rFonts w:hint="eastAsia" w:ascii="仿宋_GB2312" w:hAnsi="宋体" w:eastAsia="仿宋_GB2312"/>
          <w:color w:val="auto"/>
          <w:sz w:val="24"/>
          <w:szCs w:val="21"/>
          <w:highlight w:val="none"/>
        </w:rPr>
      </w:pPr>
      <w:r>
        <w:rPr>
          <w:rFonts w:hint="eastAsia" w:ascii="仿宋_GB2312" w:hAnsi="宋体" w:eastAsia="仿宋_GB2312"/>
          <w:b/>
          <w:color w:val="auto"/>
          <w:sz w:val="44"/>
          <w:szCs w:val="21"/>
          <w:highlight w:val="none"/>
        </w:rPr>
        <w:t>商务响应表</w:t>
      </w:r>
    </w:p>
    <w:p>
      <w:pPr>
        <w:adjustRightInd w:val="0"/>
        <w:snapToGrid w:val="0"/>
        <w:spacing w:line="578" w:lineRule="exact"/>
        <w:ind w:firstLine="481" w:firstLineChars="200"/>
        <w:rPr>
          <w:rFonts w:hint="eastAsia" w:ascii="仿宋_GB2312" w:hAnsi="宋体" w:eastAsia="仿宋_GB2312"/>
          <w:b/>
          <w:color w:val="auto"/>
          <w:sz w:val="24"/>
          <w:szCs w:val="21"/>
          <w:highlight w:val="none"/>
        </w:rPr>
      </w:pPr>
      <w:r>
        <w:rPr>
          <w:rFonts w:hint="eastAsia" w:ascii="仿宋_GB2312" w:hAnsi="宋体" w:eastAsia="仿宋_GB2312"/>
          <w:b/>
          <w:color w:val="auto"/>
          <w:sz w:val="24"/>
          <w:szCs w:val="21"/>
          <w:highlight w:val="none"/>
        </w:rPr>
        <w:t xml:space="preserve"> </w:t>
      </w:r>
    </w:p>
    <w:p>
      <w:pPr>
        <w:adjustRightInd w:val="0"/>
        <w:snapToGrid w:val="0"/>
        <w:spacing w:line="578" w:lineRule="exact"/>
        <w:ind w:firstLine="560" w:firstLineChars="2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采购项目名称:</w:t>
      </w:r>
      <w:r>
        <w:rPr>
          <w:rFonts w:hint="eastAsia" w:ascii="仿宋_GB2312" w:hAnsi="宋体" w:eastAsia="仿宋_GB2312"/>
          <w:color w:val="auto"/>
          <w:sz w:val="28"/>
          <w:szCs w:val="21"/>
          <w:highlight w:val="none"/>
          <w:u w:val="single"/>
        </w:rPr>
        <w:t xml:space="preserve">                 </w:t>
      </w:r>
      <w:r>
        <w:rPr>
          <w:rFonts w:hint="eastAsia" w:ascii="仿宋_GB2312" w:hAnsi="宋体" w:eastAsia="仿宋_GB2312"/>
          <w:color w:val="auto"/>
          <w:sz w:val="28"/>
          <w:szCs w:val="21"/>
          <w:highlight w:val="none"/>
        </w:rPr>
        <w:t xml:space="preserve">   </w:t>
      </w:r>
    </w:p>
    <w:tbl>
      <w:tblPr>
        <w:tblStyle w:val="14"/>
        <w:tblW w:w="906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48"/>
        <w:gridCol w:w="2841"/>
        <w:gridCol w:w="1575"/>
        <w:gridCol w:w="310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78" w:lineRule="exact"/>
              <w:ind w:firstLine="280" w:firstLineChars="1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项目</w:t>
            </w: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280" w:firstLineChars="1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采购文件要求</w:t>
            </w: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是否响应</w:t>
            </w: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280" w:firstLineChars="100"/>
              <w:rPr>
                <w:rFonts w:hint="eastAsia" w:ascii="仿宋_GB2312" w:hAnsi="宋体" w:eastAsia="仿宋_GB2312"/>
                <w:color w:val="auto"/>
                <w:sz w:val="28"/>
                <w:szCs w:val="21"/>
                <w:highlight w:val="none"/>
              </w:rPr>
            </w:pPr>
            <w:r>
              <w:rPr>
                <w:rFonts w:hint="eastAsia" w:ascii="仿宋_GB2312" w:hAnsi="宋体" w:eastAsia="仿宋_GB2312"/>
                <w:color w:val="auto"/>
                <w:sz w:val="28"/>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left="43"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left="43" w:firstLine="560" w:firstLineChars="200"/>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olor w:val="auto"/>
                <w:kern w:val="0"/>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2841"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157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c>
          <w:tcPr>
            <w:tcW w:w="3105" w:type="dxa"/>
            <w:tcBorders>
              <w:top w:val="single" w:color="auto" w:sz="4" w:space="0"/>
              <w:left w:val="nil"/>
              <w:bottom w:val="single" w:color="auto" w:sz="4" w:space="0"/>
              <w:right w:val="single" w:color="auto" w:sz="4" w:space="0"/>
              <w:tl2br w:val="nil"/>
              <w:tr2bl w:val="nil"/>
            </w:tcBorders>
          </w:tcPr>
          <w:p>
            <w:pPr>
              <w:adjustRightInd w:val="0"/>
              <w:snapToGrid w:val="0"/>
              <w:spacing w:line="578" w:lineRule="exact"/>
              <w:ind w:firstLine="560" w:firstLineChars="200"/>
              <w:rPr>
                <w:rFonts w:hint="eastAsia" w:ascii="仿宋_GB2312" w:hAnsi="宋体" w:eastAsia="仿宋_GB2312"/>
                <w:color w:val="auto"/>
                <w:sz w:val="28"/>
                <w:szCs w:val="21"/>
                <w:highlight w:val="none"/>
              </w:rPr>
            </w:pPr>
          </w:p>
        </w:tc>
      </w:tr>
    </w:tbl>
    <w:p>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 xml:space="preserve"> </w:t>
      </w:r>
    </w:p>
    <w:p>
      <w:pPr>
        <w:adjustRightInd w:val="0"/>
        <w:snapToGrid w:val="0"/>
        <w:spacing w:line="578" w:lineRule="exact"/>
        <w:ind w:firstLine="560" w:firstLineChars="200"/>
        <w:rPr>
          <w:rFonts w:hint="eastAsia" w:ascii="仿宋_GB2312" w:hAnsi="仿宋" w:eastAsia="仿宋_GB2312"/>
          <w:color w:val="auto"/>
          <w:sz w:val="28"/>
          <w:szCs w:val="21"/>
          <w:highlight w:val="none"/>
        </w:rPr>
      </w:pPr>
      <w:r>
        <w:rPr>
          <w:rFonts w:hint="eastAsia" w:ascii="仿宋_GB2312" w:hAnsi="仿宋" w:eastAsia="仿宋_GB2312"/>
          <w:color w:val="auto"/>
          <w:sz w:val="28"/>
          <w:szCs w:val="21"/>
          <w:highlight w:val="none"/>
        </w:rPr>
        <w:t>说明：应对照</w:t>
      </w:r>
      <w:r>
        <w:rPr>
          <w:rFonts w:hint="eastAsia" w:ascii="仿宋_GB2312" w:hAnsi="仿宋" w:eastAsia="仿宋_GB2312"/>
          <w:color w:val="auto"/>
          <w:sz w:val="28"/>
          <w:szCs w:val="21"/>
          <w:highlight w:val="none"/>
          <w:lang w:val="en-US" w:eastAsia="zh-CN"/>
        </w:rPr>
        <w:t>采购文件</w:t>
      </w:r>
      <w:r>
        <w:rPr>
          <w:rFonts w:hint="eastAsia" w:ascii="仿宋_GB2312" w:hAnsi="仿宋" w:eastAsia="仿宋_GB2312"/>
          <w:color w:val="auto"/>
          <w:sz w:val="28"/>
          <w:szCs w:val="21"/>
          <w:highlight w:val="none"/>
        </w:rPr>
        <w:t>“</w:t>
      </w:r>
      <w:r>
        <w:rPr>
          <w:rFonts w:hint="eastAsia" w:ascii="仿宋_GB2312" w:hAnsi="仿宋" w:eastAsia="仿宋_GB2312"/>
          <w:b/>
          <w:color w:val="auto"/>
          <w:sz w:val="28"/>
          <w:szCs w:val="21"/>
          <w:highlight w:val="none"/>
        </w:rPr>
        <w:t>五、商务需求</w:t>
      </w:r>
      <w:r>
        <w:rPr>
          <w:rFonts w:hint="eastAsia" w:ascii="仿宋_GB2312" w:hAnsi="仿宋" w:eastAsia="仿宋_GB2312"/>
          <w:color w:val="auto"/>
          <w:sz w:val="28"/>
          <w:szCs w:val="21"/>
          <w:highlight w:val="none"/>
        </w:rPr>
        <w:t>”逐条说明所提供服务对应要求做出了实质性的响应，并申明与要求的响应和偏离。</w:t>
      </w:r>
    </w:p>
    <w:p>
      <w:pPr>
        <w:adjustRightInd w:val="0"/>
        <w:snapToGrid w:val="0"/>
        <w:spacing w:line="578" w:lineRule="exact"/>
        <w:ind w:firstLine="562" w:firstLineChars="200"/>
        <w:rPr>
          <w:rFonts w:hint="eastAsia"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 xml:space="preserve"> </w:t>
      </w:r>
    </w:p>
    <w:p>
      <w:pPr>
        <w:adjustRightInd w:val="0"/>
        <w:snapToGrid w:val="0"/>
        <w:spacing w:line="578" w:lineRule="exact"/>
        <w:ind w:firstLine="560" w:firstLineChars="200"/>
        <w:rPr>
          <w:rFonts w:hint="eastAsia" w:ascii="仿宋_GB2312" w:hAnsi="宋体" w:eastAsia="仿宋_GB2312"/>
          <w:color w:val="auto"/>
          <w:sz w:val="28"/>
          <w:szCs w:val="21"/>
          <w:highlight w:val="none"/>
          <w:u w:val="single"/>
        </w:rPr>
      </w:pPr>
      <w:r>
        <w:rPr>
          <w:rFonts w:hint="eastAsia" w:ascii="仿宋_GB2312" w:hAnsi="宋体" w:eastAsia="仿宋_GB2312"/>
          <w:color w:val="auto"/>
          <w:sz w:val="28"/>
          <w:szCs w:val="21"/>
          <w:highlight w:val="none"/>
        </w:rPr>
        <w:t>法定代表人或法定代表人授权代表签字：</w:t>
      </w:r>
      <w:r>
        <w:rPr>
          <w:rFonts w:hint="eastAsia" w:ascii="仿宋_GB2312" w:hAnsi="宋体" w:eastAsia="仿宋_GB2312"/>
          <w:color w:val="auto"/>
          <w:sz w:val="28"/>
          <w:szCs w:val="21"/>
          <w:highlight w:val="none"/>
          <w:u w:val="single"/>
        </w:rPr>
        <w:t xml:space="preserve">        </w:t>
      </w:r>
    </w:p>
    <w:p>
      <w:pPr>
        <w:adjustRightInd w:val="0"/>
        <w:snapToGrid w:val="0"/>
        <w:spacing w:line="578" w:lineRule="exact"/>
        <w:ind w:firstLine="560" w:firstLineChars="200"/>
        <w:rPr>
          <w:rFonts w:ascii="仿宋_GB2312" w:hAnsi="Courier New" w:eastAsia="仿宋_GB2312"/>
          <w:color w:val="auto"/>
          <w:sz w:val="28"/>
          <w:szCs w:val="21"/>
          <w:highlight w:val="none"/>
          <w:u w:val="single"/>
        </w:rPr>
      </w:pPr>
      <w:r>
        <w:rPr>
          <w:rFonts w:hint="eastAsia" w:ascii="仿宋_GB2312" w:hAnsi="宋体" w:eastAsia="仿宋_GB2312"/>
          <w:color w:val="auto"/>
          <w:sz w:val="28"/>
          <w:szCs w:val="21"/>
          <w:highlight w:val="none"/>
        </w:rPr>
        <w:t>供应商名称（盖章）：</w:t>
      </w:r>
      <w:r>
        <w:rPr>
          <w:rFonts w:hint="eastAsia" w:ascii="仿宋_GB2312" w:hAnsi="宋体" w:eastAsia="仿宋_GB2312"/>
          <w:color w:val="auto"/>
          <w:sz w:val="28"/>
          <w:szCs w:val="21"/>
          <w:highlight w:val="none"/>
          <w:u w:val="single"/>
        </w:rPr>
        <w:t xml:space="preserve">               </w:t>
      </w:r>
    </w:p>
    <w:p>
      <w:pPr>
        <w:adjustRightInd w:val="0"/>
        <w:snapToGrid w:val="0"/>
        <w:spacing w:line="578" w:lineRule="exact"/>
        <w:ind w:firstLine="56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28"/>
          <w:szCs w:val="21"/>
          <w:highlight w:val="none"/>
        </w:rPr>
        <w:t>日   期：</w:t>
      </w:r>
      <w:r>
        <w:rPr>
          <w:rFonts w:hint="eastAsia" w:ascii="仿宋_GB2312" w:hAnsi="Times New Roman" w:eastAsia="仿宋_GB2312"/>
          <w:color w:val="auto"/>
          <w:sz w:val="28"/>
          <w:szCs w:val="21"/>
          <w:highlight w:val="none"/>
          <w:u w:val="single"/>
        </w:rPr>
        <w:t xml:space="preserve">                            </w:t>
      </w:r>
    </w:p>
    <w:p>
      <w:pPr>
        <w:adjustRightInd w:val="0"/>
        <w:snapToGrid w:val="0"/>
        <w:spacing w:line="578" w:lineRule="exact"/>
        <w:ind w:firstLine="640" w:firstLineChars="200"/>
        <w:jc w:val="center"/>
        <w:rPr>
          <w:rFonts w:hint="eastAsia" w:ascii="仿宋_GB2312" w:hAnsi="宋体" w:eastAsia="仿宋_GB2312"/>
          <w:color w:val="auto"/>
          <w:sz w:val="32"/>
          <w:szCs w:val="21"/>
          <w:highlight w:val="none"/>
        </w:rPr>
      </w:pPr>
    </w:p>
    <w:p>
      <w:pPr>
        <w:adjustRightInd/>
        <w:snapToGrid/>
        <w:spacing w:line="240" w:lineRule="auto"/>
        <w:ind w:firstLine="0" w:firstLineChars="0"/>
        <w:jc w:val="left"/>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br w:type="page"/>
      </w:r>
    </w:p>
    <w:p>
      <w:pPr>
        <w:spacing w:line="560" w:lineRule="exact"/>
        <w:ind w:firstLine="2200" w:firstLineChars="500"/>
        <w:rPr>
          <w:rFonts w:ascii="方正小标宋_GBK" w:hAnsi="方正小标宋_GBK" w:eastAsia="方正小标宋_GBK" w:cs="方正小标宋_GBK"/>
          <w:color w:val="auto"/>
          <w:sz w:val="44"/>
          <w:szCs w:val="44"/>
          <w:highlight w:val="none"/>
          <w:lang w:bidi="ar"/>
        </w:rPr>
      </w:pPr>
      <w:r>
        <w:rPr>
          <w:rFonts w:hint="eastAsia" w:ascii="方正小标宋_GBK" w:hAnsi="方正小标宋_GBK" w:eastAsia="方正小标宋_GBK" w:cs="方正小标宋_GBK"/>
          <w:color w:val="auto"/>
          <w:sz w:val="44"/>
          <w:szCs w:val="44"/>
          <w:highlight w:val="none"/>
          <w:lang w:bidi="ar"/>
        </w:rPr>
        <w:t>供应商基本情况表</w:t>
      </w:r>
    </w:p>
    <w:p>
      <w:pPr>
        <w:autoSpaceDE w:val="0"/>
        <w:autoSpaceDN w:val="0"/>
        <w:adjustRightInd w:val="0"/>
        <w:spacing w:line="579" w:lineRule="exact"/>
        <w:ind w:firstLine="800" w:firstLineChars="200"/>
        <w:rPr>
          <w:rFonts w:ascii="方正小标宋_GBK" w:hAnsi="方正小标宋_GBK" w:eastAsia="方正小标宋_GBK" w:cs="方正小标宋_GBK"/>
          <w:color w:val="auto"/>
          <w:kern w:val="0"/>
          <w:sz w:val="40"/>
          <w:szCs w:val="40"/>
          <w:highlight w:val="none"/>
          <w:lang w:bidi="ar"/>
        </w:rPr>
      </w:pPr>
    </w:p>
    <w:p>
      <w:pPr>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填表单位：（加盖单位公章）</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 xml:space="preserve"> 填表日期：    年   月   日</w:t>
      </w:r>
    </w:p>
    <w:tbl>
      <w:tblPr>
        <w:tblStyle w:val="15"/>
        <w:tblpPr w:leftFromText="180" w:rightFromText="180" w:vertAnchor="text" w:horzAnchor="page" w:tblpX="1451" w:tblpY="219"/>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6"/>
        <w:gridCol w:w="14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gridSpan w:val="2"/>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w:t>
            </w:r>
          </w:p>
        </w:tc>
        <w:tc>
          <w:tcPr>
            <w:tcW w:w="2353" w:type="dxa"/>
            <w:gridSpan w:val="2"/>
            <w:vAlign w:val="center"/>
          </w:tcPr>
          <w:p>
            <w:pPr>
              <w:jc w:val="center"/>
              <w:rPr>
                <w:rFonts w:ascii="方正仿宋_GBK" w:hAnsi="方正仿宋_GBK" w:eastAsia="方正仿宋_GBK" w:cs="方正仿宋_GBK"/>
                <w:color w:val="auto"/>
                <w:sz w:val="24"/>
                <w:highlight w:val="none"/>
              </w:rPr>
            </w:pPr>
          </w:p>
        </w:tc>
        <w:tc>
          <w:tcPr>
            <w:tcW w:w="1991" w:type="dxa"/>
            <w:gridSpan w:val="2"/>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项目名称</w:t>
            </w:r>
          </w:p>
        </w:tc>
        <w:tc>
          <w:tcPr>
            <w:tcW w:w="2985" w:type="dxa"/>
            <w:gridSpan w:val="2"/>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gridSpan w:val="2"/>
            <w:vAlign w:val="center"/>
          </w:tcPr>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投标（响应）供应商</w:t>
            </w:r>
          </w:p>
        </w:tc>
        <w:tc>
          <w:tcPr>
            <w:tcW w:w="2353" w:type="dxa"/>
            <w:gridSpan w:val="2"/>
            <w:vAlign w:val="center"/>
          </w:tcPr>
          <w:p>
            <w:pPr>
              <w:jc w:val="center"/>
              <w:rPr>
                <w:rFonts w:ascii="方正仿宋_GBK" w:hAnsi="方正仿宋_GBK" w:eastAsia="方正仿宋_GBK" w:cs="方正仿宋_GBK"/>
                <w:color w:val="auto"/>
                <w:sz w:val="24"/>
                <w:highlight w:val="none"/>
              </w:rPr>
            </w:pPr>
          </w:p>
        </w:tc>
        <w:tc>
          <w:tcPr>
            <w:tcW w:w="1991" w:type="dxa"/>
            <w:gridSpan w:val="2"/>
            <w:vAlign w:val="center"/>
          </w:tcPr>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供应商统一社会信用代码</w:t>
            </w:r>
          </w:p>
        </w:tc>
        <w:tc>
          <w:tcPr>
            <w:tcW w:w="2985" w:type="dxa"/>
            <w:gridSpan w:val="2"/>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vAlign w:val="center"/>
          </w:tcPr>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282" w:type="dxa"/>
            <w:gridSpan w:val="2"/>
            <w:tcBorders>
              <w:bottom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职务</w:t>
            </w:r>
          </w:p>
        </w:tc>
        <w:tc>
          <w:tcPr>
            <w:tcW w:w="947" w:type="dxa"/>
            <w:tcBorders>
              <w:bottom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姓名</w:t>
            </w:r>
          </w:p>
        </w:tc>
        <w:tc>
          <w:tcPr>
            <w:tcW w:w="1991" w:type="dxa"/>
            <w:gridSpan w:val="2"/>
            <w:tcBorders>
              <w:bottom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身份证号码</w:t>
            </w:r>
          </w:p>
        </w:tc>
        <w:tc>
          <w:tcPr>
            <w:tcW w:w="1500" w:type="dxa"/>
            <w:tcBorders>
              <w:bottom w:val="single" w:color="auto" w:sz="4" w:space="0"/>
            </w:tcBorders>
            <w:vAlign w:val="center"/>
          </w:tcPr>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劳动合同</w:t>
            </w:r>
          </w:p>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关系单位</w:t>
            </w:r>
          </w:p>
        </w:tc>
        <w:tc>
          <w:tcPr>
            <w:tcW w:w="1485" w:type="dxa"/>
            <w:tcBorders>
              <w:bottom w:val="single" w:color="auto" w:sz="4" w:space="0"/>
            </w:tcBorders>
            <w:vAlign w:val="center"/>
          </w:tcPr>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缴纳社会</w:t>
            </w:r>
          </w:p>
          <w:p>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3</w:t>
            </w:r>
          </w:p>
        </w:tc>
        <w:tc>
          <w:tcPr>
            <w:tcW w:w="2282" w:type="dxa"/>
            <w:gridSpan w:val="2"/>
            <w:tcBorders>
              <w:top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项目负责人</w:t>
            </w:r>
          </w:p>
        </w:tc>
        <w:tc>
          <w:tcPr>
            <w:tcW w:w="947" w:type="dxa"/>
            <w:tcBorders>
              <w:top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500" w:type="dxa"/>
            <w:tcBorders>
              <w:top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1485" w:type="dxa"/>
            <w:tcBorders>
              <w:top w:val="single" w:color="auto" w:sz="4" w:space="0"/>
            </w:tcBorders>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4</w:t>
            </w:r>
          </w:p>
        </w:tc>
        <w:tc>
          <w:tcPr>
            <w:tcW w:w="2282" w:type="dxa"/>
            <w:gridSpan w:val="2"/>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主要技术人员</w:t>
            </w:r>
          </w:p>
        </w:tc>
        <w:tc>
          <w:tcPr>
            <w:tcW w:w="947" w:type="dxa"/>
            <w:vAlign w:val="center"/>
          </w:tcPr>
          <w:p>
            <w:pPr>
              <w:jc w:val="center"/>
              <w:rPr>
                <w:rFonts w:ascii="方正仿宋_GBK" w:hAnsi="方正仿宋_GBK" w:eastAsia="方正仿宋_GBK" w:cs="方正仿宋_GBK"/>
                <w:color w:val="auto"/>
                <w:sz w:val="24"/>
                <w:highlight w:val="none"/>
              </w:rPr>
            </w:pPr>
          </w:p>
        </w:tc>
        <w:tc>
          <w:tcPr>
            <w:tcW w:w="1991" w:type="dxa"/>
            <w:gridSpan w:val="2"/>
            <w:vAlign w:val="center"/>
          </w:tcPr>
          <w:p>
            <w:pPr>
              <w:jc w:val="center"/>
              <w:rPr>
                <w:rFonts w:ascii="方正仿宋_GBK" w:hAnsi="方正仿宋_GBK" w:eastAsia="方正仿宋_GBK" w:cs="方正仿宋_GBK"/>
                <w:color w:val="auto"/>
                <w:sz w:val="24"/>
                <w:highlight w:val="none"/>
              </w:rPr>
            </w:pPr>
          </w:p>
        </w:tc>
        <w:tc>
          <w:tcPr>
            <w:tcW w:w="1500" w:type="dxa"/>
            <w:vAlign w:val="center"/>
          </w:tcPr>
          <w:p>
            <w:pPr>
              <w:jc w:val="center"/>
              <w:rPr>
                <w:rFonts w:ascii="方正仿宋_GBK" w:hAnsi="方正仿宋_GBK" w:eastAsia="方正仿宋_GBK" w:cs="方正仿宋_GBK"/>
                <w:color w:val="auto"/>
                <w:sz w:val="24"/>
                <w:highlight w:val="none"/>
              </w:rPr>
            </w:pPr>
          </w:p>
        </w:tc>
        <w:tc>
          <w:tcPr>
            <w:tcW w:w="1485" w:type="dxa"/>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5</w:t>
            </w:r>
          </w:p>
        </w:tc>
        <w:tc>
          <w:tcPr>
            <w:tcW w:w="2282" w:type="dxa"/>
            <w:gridSpan w:val="2"/>
            <w:vAlign w:val="center"/>
          </w:tcPr>
          <w:p>
            <w:pPr>
              <w:pStyle w:val="2"/>
              <w:snapToGrid w:val="0"/>
              <w:ind w:firstLine="0" w:firstLineChars="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投标文件编制人员</w:t>
            </w:r>
          </w:p>
        </w:tc>
        <w:tc>
          <w:tcPr>
            <w:tcW w:w="947" w:type="dxa"/>
            <w:vAlign w:val="center"/>
          </w:tcPr>
          <w:p>
            <w:pPr>
              <w:jc w:val="center"/>
              <w:rPr>
                <w:rFonts w:ascii="方正仿宋_GBK" w:hAnsi="方正仿宋_GBK" w:eastAsia="方正仿宋_GBK" w:cs="方正仿宋_GBK"/>
                <w:color w:val="auto"/>
                <w:sz w:val="24"/>
                <w:highlight w:val="none"/>
              </w:rPr>
            </w:pPr>
          </w:p>
        </w:tc>
        <w:tc>
          <w:tcPr>
            <w:tcW w:w="1991" w:type="dxa"/>
            <w:gridSpan w:val="2"/>
            <w:vAlign w:val="center"/>
          </w:tcPr>
          <w:p>
            <w:pPr>
              <w:jc w:val="center"/>
              <w:rPr>
                <w:rFonts w:ascii="方正仿宋_GBK" w:hAnsi="方正仿宋_GBK" w:eastAsia="方正仿宋_GBK" w:cs="方正仿宋_GBK"/>
                <w:color w:val="auto"/>
                <w:sz w:val="24"/>
                <w:highlight w:val="none"/>
              </w:rPr>
            </w:pPr>
          </w:p>
        </w:tc>
        <w:tc>
          <w:tcPr>
            <w:tcW w:w="1500" w:type="dxa"/>
            <w:vAlign w:val="center"/>
          </w:tcPr>
          <w:p>
            <w:pPr>
              <w:jc w:val="center"/>
              <w:rPr>
                <w:rFonts w:ascii="方正仿宋_GBK" w:hAnsi="方正仿宋_GBK" w:eastAsia="方正仿宋_GBK" w:cs="方正仿宋_GBK"/>
                <w:color w:val="auto"/>
                <w:sz w:val="24"/>
                <w:highlight w:val="none"/>
              </w:rPr>
            </w:pPr>
          </w:p>
        </w:tc>
        <w:tc>
          <w:tcPr>
            <w:tcW w:w="1485" w:type="dxa"/>
            <w:vAlign w:val="center"/>
          </w:tcPr>
          <w:p>
            <w:pPr>
              <w:jc w:val="center"/>
              <w:rPr>
                <w:rFonts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序号</w:t>
            </w:r>
          </w:p>
        </w:tc>
        <w:tc>
          <w:tcPr>
            <w:tcW w:w="2282" w:type="dxa"/>
            <w:gridSpan w:val="2"/>
            <w:tcBorders>
              <w:bottom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关联关系类型</w:t>
            </w:r>
          </w:p>
        </w:tc>
        <w:tc>
          <w:tcPr>
            <w:tcW w:w="1738" w:type="dxa"/>
            <w:gridSpan w:val="2"/>
            <w:tcBorders>
              <w:bottom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关联主体名称</w:t>
            </w:r>
          </w:p>
        </w:tc>
        <w:tc>
          <w:tcPr>
            <w:tcW w:w="4185" w:type="dxa"/>
            <w:gridSpan w:val="3"/>
            <w:tcBorders>
              <w:bottom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color w:val="auto"/>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说明：同一关联关系类型有多个主体的，应分行填写。</w:t>
            </w:r>
          </w:p>
        </w:tc>
      </w:tr>
    </w:tbl>
    <w:p>
      <w:pPr>
        <w:adjustRightInd w:val="0"/>
        <w:snapToGrid w:val="0"/>
        <w:spacing w:line="578" w:lineRule="exact"/>
        <w:ind w:firstLine="0" w:firstLineChars="0"/>
        <w:rPr>
          <w:rFonts w:hint="eastAsia" w:ascii="方正小标宋_GBK" w:hAnsi="方正小标宋_GBK" w:eastAsia="方正小标宋_GBK"/>
          <w:color w:val="auto"/>
          <w:kern w:val="0"/>
          <w:sz w:val="44"/>
          <w:szCs w:val="21"/>
          <w:highlight w:val="none"/>
        </w:rPr>
      </w:pPr>
      <w:r>
        <w:rPr>
          <w:rFonts w:hint="eastAsia" w:ascii="仿宋_GB2312" w:hAnsi="宋体" w:eastAsia="仿宋_GB2312"/>
          <w:color w:val="auto"/>
          <w:sz w:val="32"/>
          <w:szCs w:val="21"/>
          <w:highlight w:val="none"/>
        </w:rPr>
        <w:t xml:space="preserve">  </w:t>
      </w:r>
    </w:p>
    <w:p>
      <w:pPr>
        <w:autoSpaceDE w:val="0"/>
        <w:autoSpaceDN w:val="0"/>
        <w:adjustRightInd w:val="0"/>
        <w:spacing w:line="579" w:lineRule="exact"/>
        <w:ind w:firstLine="880" w:firstLineChars="200"/>
        <w:rPr>
          <w:rFonts w:hint="eastAsia" w:ascii="方正小标宋_GBK" w:hAnsi="方正小标宋_GBK" w:eastAsia="方正小标宋_GBK"/>
          <w:color w:val="auto"/>
          <w:kern w:val="0"/>
          <w:sz w:val="44"/>
          <w:szCs w:val="21"/>
          <w:highlight w:val="none"/>
        </w:rPr>
      </w:pPr>
    </w:p>
    <w:p>
      <w:pPr>
        <w:autoSpaceDE w:val="0"/>
        <w:autoSpaceDN w:val="0"/>
        <w:adjustRightInd w:val="0"/>
        <w:spacing w:line="579" w:lineRule="exact"/>
        <w:ind w:firstLine="880" w:firstLineChars="200"/>
        <w:rPr>
          <w:rFonts w:hint="eastAsia" w:ascii="方正小标宋_GBK" w:hAnsi="方正小标宋_GBK" w:eastAsia="方正小标宋_GBK"/>
          <w:color w:val="auto"/>
          <w:kern w:val="0"/>
          <w:sz w:val="44"/>
          <w:szCs w:val="21"/>
          <w:highlight w:val="none"/>
        </w:rPr>
      </w:pPr>
      <w:r>
        <w:rPr>
          <w:rFonts w:hint="eastAsia" w:ascii="方正小标宋_GBK" w:hAnsi="方正小标宋_GBK" w:eastAsia="方正小标宋_GBK"/>
          <w:color w:val="auto"/>
          <w:kern w:val="0"/>
          <w:sz w:val="44"/>
          <w:szCs w:val="21"/>
          <w:highlight w:val="none"/>
        </w:rPr>
        <w:t>政府采购违法行为风险知悉确认书</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pPr>
        <w:spacing w:line="579" w:lineRule="exact"/>
        <w:ind w:firstLine="640" w:firstLineChars="200"/>
        <w:rPr>
          <w:rFonts w:ascii="仿宋_GB2312" w:hAnsi="Times New Roman" w:eastAsia="仿宋_GB2312"/>
          <w:color w:val="auto"/>
          <w:kern w:val="0"/>
          <w:sz w:val="32"/>
          <w:szCs w:val="21"/>
          <w:highlight w:val="none"/>
        </w:rPr>
      </w:pPr>
      <w:r>
        <w:rPr>
          <w:rFonts w:hint="eastAsia" w:ascii="仿宋_GB2312" w:hAnsi="Times New Roman" w:eastAsia="仿宋_GB2312"/>
          <w:color w:val="auto"/>
          <w:sz w:val="32"/>
          <w:szCs w:val="21"/>
          <w:highlight w:val="none"/>
        </w:rPr>
        <w:t>本公司在投标前已充分知悉以下情形为参与政府采购活动时的重大风险事项，并承诺已对下述风险提示事项重点排查，做到严谨、诚信、依法依规参与政府采购活动。</w:t>
      </w:r>
    </w:p>
    <w:p>
      <w:pPr>
        <w:spacing w:line="579" w:lineRule="exact"/>
        <w:ind w:firstLine="642" w:firstLineChars="200"/>
        <w:rPr>
          <w:rFonts w:ascii="仿宋_GB2312" w:hAnsi="Times New Roman" w:eastAsia="仿宋_GB2312"/>
          <w:color w:val="auto"/>
          <w:sz w:val="32"/>
          <w:szCs w:val="21"/>
          <w:highlight w:val="none"/>
        </w:rPr>
      </w:pPr>
      <w:r>
        <w:rPr>
          <w:rFonts w:hint="eastAsia" w:ascii="仿宋_GB2312" w:hAnsi="Times New Roman" w:eastAsia="仿宋_GB2312"/>
          <w:b/>
          <w:color w:val="auto"/>
          <w:sz w:val="32"/>
          <w:szCs w:val="21"/>
          <w:highlight w:val="none"/>
        </w:rPr>
        <w:t>一、本公司已充分知悉“隐瞒真实情况，提供虚假资料”的法定情形，相关情形包括但不限于</w:t>
      </w:r>
      <w:r>
        <w:rPr>
          <w:rFonts w:hint="eastAsia" w:ascii="仿宋_GB2312" w:hAnsi="Times New Roman" w:eastAsia="仿宋_GB2312"/>
          <w:color w:val="auto"/>
          <w:sz w:val="32"/>
          <w:szCs w:val="21"/>
          <w:highlight w:val="none"/>
        </w:rPr>
        <w:t>：</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（一）通过转让或者租借等方式从其他单位获取资格或者资质证书投标的。</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（二）由其他单位或者其他单位负责人在投标供应商编制的投标文件上加盖印章或者签字的。</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（三）项目负责人或者主要技术人员不是本单位人员的。</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（四）投标保证金不是从投标供应商基本账户转出的。</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（五）其他隐瞒真实情况、提供虚假资料的行为。</w:t>
      </w:r>
    </w:p>
    <w:p>
      <w:pPr>
        <w:spacing w:line="579" w:lineRule="exact"/>
        <w:ind w:firstLine="642" w:firstLineChars="200"/>
        <w:rPr>
          <w:rFonts w:ascii="仿宋_GB2312" w:hAnsi="Times New Roman" w:eastAsia="仿宋_GB2312"/>
          <w:color w:val="auto"/>
          <w:sz w:val="32"/>
          <w:szCs w:val="21"/>
          <w:highlight w:val="none"/>
        </w:rPr>
      </w:pPr>
      <w:r>
        <w:rPr>
          <w:rFonts w:hint="eastAsia" w:ascii="仿宋_GB2312" w:hAnsi="Times New Roman" w:eastAsia="仿宋_GB2312"/>
          <w:b/>
          <w:color w:val="auto"/>
          <w:sz w:val="32"/>
          <w:szCs w:val="21"/>
          <w:highlight w:val="none"/>
        </w:rPr>
        <w:t>二、本公司已充分知悉“与其他采购参加人串通投标”的法定情形，相关情形包括但不限于：</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（一）投标供应商之间相互约定给予未中标的供应商利益补偿。 </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（三）不同投标供应商的投标文件由同一单位或者同一人编制，或者由同一人分阶段参与编制的。</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（四）不同投标供应商的投标文件或部分投标文件相互混装。</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（五）不同投标供应商的投标文件内容存在非正常一致。</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（六）由同一单位工作人员为两家以上（含两家）供应商进行同一项投标活动的。</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（七）不同投标人的投标报价呈规律性差异。</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（八）不同投标人的投标保证金从同一单位或者个人的账户转出。</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（九）主管部门依照法律、法规认定的其他情形。</w:t>
      </w:r>
    </w:p>
    <w:p>
      <w:pPr>
        <w:spacing w:line="579" w:lineRule="exact"/>
        <w:ind w:firstLine="642" w:firstLineChars="200"/>
        <w:rPr>
          <w:rFonts w:ascii="仿宋_GB2312" w:hAnsi="Times New Roman" w:eastAsia="仿宋_GB2312"/>
          <w:b/>
          <w:color w:val="auto"/>
          <w:sz w:val="32"/>
          <w:szCs w:val="21"/>
          <w:highlight w:val="none"/>
        </w:rPr>
      </w:pPr>
      <w:r>
        <w:rPr>
          <w:rFonts w:hint="eastAsia" w:ascii="仿宋_GB2312" w:hAnsi="Times New Roman" w:eastAsia="仿宋_GB2312"/>
          <w:b/>
          <w:color w:val="auto"/>
          <w:sz w:val="32"/>
          <w:szCs w:val="21"/>
          <w:highlight w:val="none"/>
        </w:rPr>
        <w:t>三、本公司已充分知悉下列情形所对应的法律风险，并在投标前已对相关风险事项进行排查。</w:t>
      </w:r>
    </w:p>
    <w:p>
      <w:pPr>
        <w:spacing w:line="579" w:lineRule="exact"/>
        <w:ind w:firstLine="640" w:firstLineChars="200"/>
        <w:rPr>
          <w:rFonts w:ascii="仿宋_GB2312" w:hAnsi="Times New Roman" w:eastAsia="仿宋_GB2312"/>
          <w:b/>
          <w:color w:val="auto"/>
          <w:sz w:val="32"/>
          <w:szCs w:val="21"/>
          <w:highlight w:val="none"/>
        </w:rPr>
      </w:pPr>
      <w:r>
        <w:rPr>
          <w:rFonts w:hint="eastAsia" w:ascii="仿宋_GB2312" w:hAnsi="Times New Roman" w:eastAsia="仿宋_GB2312"/>
          <w:color w:val="auto"/>
          <w:sz w:val="32"/>
          <w:szCs w:val="21"/>
          <w:highlight w:val="none"/>
        </w:rPr>
        <w:t>（一）对于从其他主体获取的投标资料，供应商应审慎核查，确保投标资料的真实性。</w:t>
      </w:r>
      <w:r>
        <w:rPr>
          <w:rFonts w:hint="eastAsia" w:ascii="仿宋_GB2312" w:hAnsi="Times New Roman" w:eastAsia="仿宋_GB2312"/>
          <w:b/>
          <w:color w:val="auto"/>
          <w:sz w:val="32"/>
          <w:szCs w:val="21"/>
          <w:highlight w:val="none"/>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（三）对于涉及安全生产、特种作业、抢险救灾、防疫等政府采购项目，供应商实施提供虚假资料、串通投标等违法行为的，主管部门将依法从严处理。</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79" w:lineRule="exact"/>
        <w:ind w:firstLine="640" w:firstLineChars="200"/>
        <w:jc w:val="left"/>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642" w:firstLineChars="200"/>
        <w:rPr>
          <w:rFonts w:ascii="仿宋_GB2312" w:hAnsi="Times New Roman" w:eastAsia="仿宋_GB2312"/>
          <w:b/>
          <w:color w:val="auto"/>
          <w:sz w:val="32"/>
          <w:szCs w:val="21"/>
          <w:highlight w:val="none"/>
        </w:rPr>
      </w:pPr>
      <w:r>
        <w:rPr>
          <w:rFonts w:hint="eastAsia" w:ascii="仿宋_GB2312" w:hAnsi="Times New Roman" w:eastAsia="仿宋_GB2312"/>
          <w:b/>
          <w:color w:val="auto"/>
          <w:sz w:val="32"/>
          <w:szCs w:val="21"/>
          <w:highlight w:val="none"/>
        </w:rPr>
        <w:t>四、本公司已充分知悉政府采购违法、违规行为的法律后果。</w:t>
      </w:r>
      <w:r>
        <w:rPr>
          <w:rFonts w:hint="eastAsia" w:ascii="仿宋_GB2312" w:hAnsi="Times New Roman" w:eastAsia="仿宋_GB2312"/>
          <w:color w:val="auto"/>
          <w:sz w:val="32"/>
          <w:szCs w:val="21"/>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以下文字请投标供应商抄写并确认：“本公司已仔细阅读《政府采购违法行为风险知悉确认书》，充分知悉违法行为的法律后果，并承诺将严谨、诚信、依法依规参与政府采购活动”。</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u w:val="single"/>
        </w:rPr>
        <w:t xml:space="preserve">                                                    </w:t>
      </w:r>
    </w:p>
    <w:p>
      <w:pPr>
        <w:spacing w:line="579" w:lineRule="exact"/>
        <w:ind w:firstLine="640" w:firstLineChars="200"/>
        <w:rPr>
          <w:rFonts w:ascii="仿宋_GB2312" w:hAnsi="Times New Roman" w:eastAsia="仿宋_GB2312"/>
          <w:color w:val="auto"/>
          <w:sz w:val="32"/>
          <w:szCs w:val="21"/>
          <w:highlight w:val="none"/>
          <w:u w:val="single"/>
        </w:rPr>
      </w:pPr>
      <w:r>
        <w:rPr>
          <w:rFonts w:hint="eastAsia" w:ascii="仿宋_GB2312" w:hAnsi="Times New Roman" w:eastAsia="仿宋_GB2312"/>
          <w:color w:val="auto"/>
          <w:sz w:val="32"/>
          <w:szCs w:val="21"/>
          <w:highlight w:val="none"/>
          <w:u w:val="single"/>
        </w:rPr>
        <w:t xml:space="preserve">                                                    </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u w:val="single"/>
        </w:rPr>
        <w:t xml:space="preserve">                                                    </w:t>
      </w:r>
    </w:p>
    <w:p>
      <w:pPr>
        <w:spacing w:line="579" w:lineRule="exact"/>
        <w:ind w:firstLine="640" w:firstLineChars="200"/>
        <w:rPr>
          <w:rFonts w:ascii="仿宋_GB2312" w:hAnsi="Times New Roman" w:eastAsia="仿宋_GB2312"/>
          <w:color w:val="auto"/>
          <w:sz w:val="24"/>
          <w:szCs w:val="21"/>
          <w:highlight w:val="none"/>
        </w:rPr>
      </w:pPr>
      <w:r>
        <w:rPr>
          <w:rFonts w:hint="eastAsia" w:ascii="仿宋_GB2312" w:hAnsi="Times New Roman" w:eastAsia="仿宋_GB2312"/>
          <w:color w:val="auto"/>
          <w:sz w:val="32"/>
          <w:szCs w:val="21"/>
          <w:highlight w:val="none"/>
          <w:u w:val="single"/>
        </w:rPr>
        <w:t xml:space="preserve">                                                    </w:t>
      </w:r>
    </w:p>
    <w:p>
      <w:pPr>
        <w:spacing w:line="579"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pPr>
        <w:spacing w:line="579" w:lineRule="exact"/>
        <w:ind w:firstLine="640" w:firstLineChars="200"/>
        <w:jc w:val="right"/>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pPr>
        <w:spacing w:line="579" w:lineRule="exact"/>
        <w:ind w:firstLine="640" w:firstLineChars="200"/>
        <w:jc w:val="right"/>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负责人/投标授权代表签名：</w:t>
      </w:r>
    </w:p>
    <w:p>
      <w:pPr>
        <w:spacing w:line="579" w:lineRule="exact"/>
        <w:ind w:firstLine="640" w:firstLineChars="200"/>
        <w:jc w:val="center"/>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知悉人（公章）：</w:t>
      </w:r>
    </w:p>
    <w:p>
      <w:pPr>
        <w:spacing w:line="579" w:lineRule="exact"/>
        <w:ind w:firstLine="640" w:firstLineChars="200"/>
        <w:jc w:val="center"/>
        <w:rPr>
          <w:rFonts w:ascii="Times New Roman" w:hAnsi="Times New Roman" w:eastAsia="Times New Roman"/>
          <w:color w:val="auto"/>
          <w:sz w:val="32"/>
          <w:szCs w:val="21"/>
          <w:highlight w:val="none"/>
        </w:rPr>
      </w:pPr>
      <w:r>
        <w:rPr>
          <w:rFonts w:hint="eastAsia" w:ascii="仿宋_GB2312" w:hAnsi="Times New Roman" w:eastAsia="仿宋_GB2312"/>
          <w:color w:val="auto"/>
          <w:sz w:val="32"/>
          <w:szCs w:val="21"/>
          <w:highlight w:val="none"/>
        </w:rPr>
        <w:t xml:space="preserve">    日期：</w:t>
      </w:r>
    </w:p>
    <w:p>
      <w:pPr>
        <w:spacing w:line="560" w:lineRule="exact"/>
        <w:ind w:firstLine="420" w:firstLineChars="200"/>
        <w:rPr>
          <w:rFonts w:ascii="Times New Roman" w:hAnsi="Times New Roman" w:eastAsia="仿宋"/>
          <w:color w:val="auto"/>
          <w:szCs w:val="21"/>
          <w:highlight w:val="none"/>
        </w:rPr>
      </w:pPr>
      <w:r>
        <w:rPr>
          <w:rFonts w:ascii="Times New Roman" w:hAnsi="Times New Roman" w:eastAsia="仿宋"/>
          <w:color w:val="auto"/>
          <w:szCs w:val="21"/>
          <w:highlight w:val="none"/>
        </w:rPr>
        <w:t xml:space="preserve"> </w:t>
      </w:r>
    </w:p>
    <w:p>
      <w:pPr>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pPr>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ind w:firstLine="640" w:firstLineChars="200"/>
        <w:jc w:val="left"/>
        <w:rPr>
          <w:rFonts w:hint="eastAsia" w:ascii="仿宋_GB2312" w:hAnsi="宋体" w:eastAsia="仿宋_GB2312"/>
          <w:color w:val="auto"/>
          <w:sz w:val="32"/>
          <w:szCs w:val="21"/>
          <w:highlight w:val="none"/>
        </w:rPr>
      </w:pPr>
    </w:p>
    <w:p>
      <w:pPr>
        <w:spacing w:line="578" w:lineRule="exact"/>
        <w:jc w:val="left"/>
        <w:rPr>
          <w:rFonts w:hint="eastAsia" w:ascii="仿宋_GB2312" w:hAnsi="宋体" w:eastAsia="仿宋_GB2312"/>
          <w:color w:val="auto"/>
          <w:sz w:val="32"/>
          <w:szCs w:val="21"/>
          <w:highlight w:val="none"/>
        </w:rPr>
      </w:pPr>
    </w:p>
    <w:p>
      <w:pPr>
        <w:spacing w:line="560" w:lineRule="exact"/>
        <w:ind w:firstLine="880" w:firstLineChars="200"/>
        <w:rPr>
          <w:rFonts w:hint="eastAsia" w:ascii="方正小标宋_GBK" w:hAnsi="方正小标宋_GBK" w:eastAsia="方正小标宋_GBK"/>
          <w:color w:val="auto"/>
          <w:sz w:val="44"/>
          <w:szCs w:val="21"/>
          <w:highlight w:val="none"/>
        </w:rPr>
      </w:pPr>
      <w:r>
        <w:rPr>
          <w:rFonts w:hint="eastAsia" w:ascii="方正小标宋_GBK" w:hAnsi="方正小标宋_GBK" w:eastAsia="方正小标宋_GBK"/>
          <w:color w:val="auto"/>
          <w:sz w:val="44"/>
          <w:szCs w:val="21"/>
          <w:highlight w:val="none"/>
        </w:rPr>
        <w:t xml:space="preserve"> </w:t>
      </w:r>
    </w:p>
    <w:p>
      <w:pPr>
        <w:pStyle w:val="2"/>
        <w:rPr>
          <w:rFonts w:hint="eastAsia"/>
          <w:color w:val="auto"/>
        </w:rPr>
      </w:pPr>
    </w:p>
    <w:p>
      <w:pPr>
        <w:spacing w:line="240" w:lineRule="auto"/>
        <w:ind w:firstLine="0" w:firstLineChars="0"/>
        <w:jc w:val="center"/>
        <w:rPr>
          <w:rFonts w:hint="eastAsia" w:ascii="方正小标宋_GBK" w:hAnsi="方正小标宋_GBK" w:eastAsia="方正小标宋_GBK"/>
          <w:color w:val="auto"/>
          <w:sz w:val="44"/>
          <w:szCs w:val="21"/>
          <w:highlight w:val="none"/>
        </w:rPr>
      </w:pPr>
      <w:r>
        <w:rPr>
          <w:rFonts w:hint="eastAsia" w:ascii="方正小标宋_GBK" w:hAnsi="方正小标宋_GBK" w:eastAsia="方正小标宋_GBK"/>
          <w:color w:val="auto"/>
          <w:sz w:val="44"/>
          <w:szCs w:val="21"/>
          <w:highlight w:val="none"/>
        </w:rPr>
        <w:t>无不良行为承诺书</w:t>
      </w:r>
    </w:p>
    <w:p>
      <w:pPr>
        <w:spacing w:line="560" w:lineRule="exact"/>
        <w:ind w:firstLine="640" w:firstLineChars="200"/>
        <w:rPr>
          <w:rFonts w:ascii="仿宋_GB2312" w:hAnsi="Times New Roman" w:eastAsia="仿宋_GB2312"/>
          <w:color w:val="auto"/>
          <w:sz w:val="32"/>
          <w:szCs w:val="21"/>
          <w:highlight w:val="none"/>
        </w:rPr>
      </w:pPr>
    </w:p>
    <w:p>
      <w:pPr>
        <w:spacing w:line="560" w:lineRule="exact"/>
        <w:ind w:firstLine="0" w:firstLineChars="0"/>
        <w:rPr>
          <w:rFonts w:ascii="仿宋_GB2312" w:hAnsi="Times New Roman" w:eastAsia="仿宋_GB2312"/>
          <w:color w:val="auto"/>
          <w:sz w:val="32"/>
          <w:szCs w:val="21"/>
          <w:highlight w:val="none"/>
        </w:rPr>
      </w:pPr>
    </w:p>
    <w:p>
      <w:pPr>
        <w:adjustRightInd w:val="0"/>
        <w:snapToGrid w:val="0"/>
        <w:spacing w:line="578" w:lineRule="exact"/>
        <w:ind w:firstLine="0" w:firstLineChars="0"/>
        <w:rPr>
          <w:rFonts w:ascii="Times New Roman" w:hAnsi="Times New Roman" w:eastAsia="仿宋"/>
          <w:color w:val="auto"/>
          <w:szCs w:val="21"/>
          <w:highlight w:val="none"/>
        </w:rPr>
      </w:pPr>
      <w:r>
        <w:rPr>
          <w:rFonts w:hint="eastAsia" w:ascii="仿宋_GB2312" w:hAnsi="Times New Roman" w:eastAsia="仿宋_GB2312"/>
          <w:color w:val="auto"/>
          <w:sz w:val="32"/>
          <w:szCs w:val="21"/>
          <w:highlight w:val="none"/>
        </w:rPr>
        <w:t>致：中共深圳市委金融委员会办公室</w:t>
      </w:r>
    </w:p>
    <w:p>
      <w:pPr>
        <w:spacing w:line="560" w:lineRule="exact"/>
        <w:ind w:firstLine="640" w:firstLineChars="200"/>
        <w:rPr>
          <w:rFonts w:ascii="仿宋_GB2312" w:hAnsi="Times New Roman" w:eastAsia="仿宋_GB2312"/>
          <w:color w:val="auto"/>
          <w:sz w:val="32"/>
          <w:szCs w:val="21"/>
          <w:highlight w:val="none"/>
        </w:rPr>
      </w:pPr>
    </w:p>
    <w:p>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我单位目前处于正常营业状态。在此声明与承诺如下：</w:t>
      </w:r>
    </w:p>
    <w:p>
      <w:pPr>
        <w:numPr>
          <w:ilvl w:val="0"/>
          <w:numId w:val="7"/>
        </w:num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符合《中华人民共和国政府采购法》第二十二条规定的条件。</w:t>
      </w:r>
      <w:r>
        <w:rPr>
          <w:rFonts w:hint="eastAsia" w:ascii="仿宋_GB2312" w:hAnsi="仿宋_GB2312" w:eastAsia="仿宋_GB2312"/>
          <w:color w:val="auto"/>
          <w:sz w:val="32"/>
          <w:szCs w:val="21"/>
          <w:highlight w:val="none"/>
        </w:rPr>
        <w:br w:type="textWrapping"/>
      </w:r>
      <w:r>
        <w:rPr>
          <w:rFonts w:hint="eastAsia" w:ascii="仿宋_GB2312" w:hAnsi="仿宋_GB2312" w:eastAsia="仿宋_GB2312"/>
          <w:color w:val="auto"/>
          <w:sz w:val="32"/>
          <w:szCs w:val="21"/>
          <w:highlight w:val="none"/>
        </w:rPr>
        <w:t xml:space="preserve">    （二）不存在《深圳市财政局政府采购供应商信用信息管理办法》（深财规〔2023〕3 号）列明的严重违法失信行为。</w:t>
      </w:r>
    </w:p>
    <w:p>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三）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（四）我单位保证参与本项目后不再转包或分包。</w:t>
      </w:r>
    </w:p>
    <w:p>
      <w:pPr>
        <w:spacing w:after="200"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我单位对以上承诺的真实性负责，如有不实，自愿接受相关法律法规的处罚及其他一切后果。</w:t>
      </w:r>
    </w:p>
    <w:p>
      <w:pPr>
        <w:spacing w:after="200"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特此承诺。</w:t>
      </w:r>
    </w:p>
    <w:p>
      <w:pPr>
        <w:spacing w:line="560" w:lineRule="exact"/>
        <w:ind w:firstLine="3520" w:firstLineChars="11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负责人/投标授权代表签名：</w:t>
      </w:r>
    </w:p>
    <w:p>
      <w:pPr>
        <w:spacing w:line="560" w:lineRule="exact"/>
        <w:ind w:firstLine="3520" w:firstLineChars="11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承诺人（公章）：</w:t>
      </w:r>
    </w:p>
    <w:p>
      <w:pPr>
        <w:spacing w:line="560" w:lineRule="exact"/>
        <w:ind w:firstLine="640" w:firstLineChars="200"/>
        <w:rPr>
          <w:rFonts w:hint="eastAsia" w:ascii="仿宋_GB2312" w:hAnsi="仿宋_GB2312" w:eastAsia="仿宋_GB2312"/>
          <w:color w:val="auto"/>
          <w:sz w:val="32"/>
          <w:szCs w:val="21"/>
          <w:highlight w:val="none"/>
        </w:rPr>
      </w:pPr>
      <w:r>
        <w:rPr>
          <w:rFonts w:hint="eastAsia" w:ascii="仿宋_GB2312" w:hAnsi="仿宋_GB2312" w:eastAsia="仿宋_GB2312"/>
          <w:color w:val="auto"/>
          <w:sz w:val="32"/>
          <w:szCs w:val="21"/>
          <w:highlight w:val="none"/>
        </w:rPr>
        <w:t xml:space="preserve">                  日期：</w:t>
      </w:r>
    </w:p>
    <w:p>
      <w:pPr>
        <w:spacing w:line="560" w:lineRule="exact"/>
        <w:ind w:firstLine="640" w:firstLineChars="200"/>
        <w:rPr>
          <w:rFonts w:ascii="仿宋_GB2312" w:hAnsi="Times New Roman" w:eastAsia="仿宋_GB2312"/>
          <w:color w:val="auto"/>
          <w:sz w:val="32"/>
          <w:szCs w:val="21"/>
          <w:highlight w:val="none"/>
        </w:rPr>
      </w:pPr>
      <w:r>
        <w:rPr>
          <w:rFonts w:hint="eastAsia" w:ascii="仿宋_GB2312" w:hAnsi="Times New Roman" w:eastAsia="仿宋_GB2312"/>
          <w:color w:val="auto"/>
          <w:sz w:val="32"/>
          <w:szCs w:val="21"/>
          <w:highlight w:val="none"/>
        </w:rPr>
        <w:t xml:space="preserve"> </w:t>
      </w:r>
    </w:p>
    <w:p>
      <w:pPr>
        <w:spacing w:line="560" w:lineRule="exact"/>
        <w:ind w:firstLine="640" w:firstLineChars="200"/>
        <w:rPr>
          <w:rFonts w:ascii="Times New Roman" w:hAnsi="Times New Roman" w:eastAsia="仿宋"/>
          <w:color w:val="auto"/>
          <w:szCs w:val="21"/>
          <w:highlight w:val="none"/>
        </w:rPr>
      </w:pPr>
      <w:r>
        <w:rPr>
          <w:rFonts w:hint="eastAsia" w:ascii="仿宋_GB2312" w:hAnsi="Times New Roman" w:eastAsia="仿宋_GB2312"/>
          <w:color w:val="auto"/>
          <w:sz w:val="32"/>
          <w:szCs w:val="21"/>
          <w:highlight w:val="none"/>
        </w:rPr>
        <w:t xml:space="preserve"> </w:t>
      </w:r>
    </w:p>
    <w:p>
      <w:pPr>
        <w:spacing w:line="560" w:lineRule="exact"/>
        <w:ind w:firstLine="1325" w:firstLineChars="300"/>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资质审查材料及其他证明资料</w:t>
      </w:r>
    </w:p>
    <w:p>
      <w:pPr>
        <w:spacing w:line="578" w:lineRule="exact"/>
        <w:ind w:firstLine="883" w:firstLineChars="200"/>
        <w:jc w:val="center"/>
        <w:rPr>
          <w:rFonts w:hint="eastAsia" w:ascii="仿宋_GB2312" w:hAnsi="宋体" w:eastAsia="仿宋_GB2312"/>
          <w:b/>
          <w:color w:val="auto"/>
          <w:sz w:val="44"/>
          <w:szCs w:val="21"/>
          <w:highlight w:val="none"/>
        </w:rPr>
      </w:pPr>
    </w:p>
    <w:p>
      <w:pPr>
        <w:spacing w:line="578" w:lineRule="exact"/>
        <w:ind w:firstLine="883" w:firstLineChars="200"/>
        <w:jc w:val="center"/>
        <w:rPr>
          <w:rFonts w:hint="eastAsia" w:ascii="仿宋_GB2312" w:hAnsi="宋体" w:eastAsia="仿宋_GB2312"/>
          <w:b/>
          <w:color w:val="auto"/>
          <w:sz w:val="44"/>
          <w:szCs w:val="21"/>
          <w:highlight w:val="none"/>
        </w:rPr>
      </w:pPr>
      <w:r>
        <w:rPr>
          <w:rFonts w:hint="eastAsia" w:ascii="仿宋_GB2312" w:hAnsi="宋体" w:eastAsia="仿宋_GB2312"/>
          <w:b/>
          <w:color w:val="auto"/>
          <w:sz w:val="44"/>
          <w:szCs w:val="21"/>
          <w:highlight w:val="none"/>
        </w:rPr>
        <w:t xml:space="preserve"> </w:t>
      </w:r>
    </w:p>
    <w:p>
      <w:pPr>
        <w:spacing w:line="578" w:lineRule="exact"/>
        <w:ind w:firstLine="642" w:firstLineChars="200"/>
        <w:jc w:val="left"/>
        <w:rPr>
          <w:rFonts w:hint="eastAsia" w:ascii="仿宋_GB2312" w:hAnsi="宋体" w:eastAsia="仿宋_GB2312"/>
          <w:b/>
          <w:color w:val="auto"/>
          <w:sz w:val="32"/>
          <w:szCs w:val="21"/>
          <w:highlight w:val="none"/>
        </w:rPr>
      </w:pPr>
      <w:r>
        <w:rPr>
          <w:rFonts w:hint="eastAsia" w:ascii="仿宋_GB2312" w:hAnsi="宋体" w:eastAsia="仿宋_GB2312"/>
          <w:b/>
          <w:color w:val="auto"/>
          <w:sz w:val="32"/>
          <w:szCs w:val="21"/>
          <w:highlight w:val="none"/>
        </w:rPr>
        <w:t>一、资质审查材料：</w:t>
      </w:r>
    </w:p>
    <w:p>
      <w:pPr>
        <w:pStyle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宋体" w:eastAsia="仿宋_GB2312"/>
          <w:color w:val="auto"/>
          <w:sz w:val="32"/>
          <w:szCs w:val="21"/>
          <w:highlight w:val="none"/>
        </w:rPr>
        <w:t>1.</w:t>
      </w:r>
      <w:r>
        <w:rPr>
          <w:rFonts w:hint="eastAsia" w:ascii="仿宋_GB2312" w:hAnsi="仿宋_GB2312" w:eastAsia="仿宋_GB2312" w:cs="仿宋_GB2312"/>
          <w:color w:val="auto"/>
          <w:kern w:val="2"/>
          <w:sz w:val="32"/>
          <w:szCs w:val="32"/>
          <w:highlight w:val="none"/>
          <w:lang w:val="en-US" w:eastAsia="zh-CN" w:bidi="ar-SA"/>
        </w:rPr>
        <w:t>具有独立法人资格或是具有独立承担民事责任能力的其他组织（</w:t>
      </w:r>
      <w:r>
        <w:rPr>
          <w:rFonts w:hint="eastAsia" w:ascii="仿宋_GB2312" w:hAnsi="宋体" w:eastAsia="仿宋_GB2312"/>
          <w:color w:val="auto"/>
          <w:sz w:val="32"/>
          <w:szCs w:val="21"/>
          <w:highlight w:val="none"/>
        </w:rPr>
        <w:t>提供营业执照或事业单位法人证书等证明资料扫描件），法定代表人有效的身份证复印件、法定代表人授权书和被授权人身份证复印件</w:t>
      </w:r>
      <w:r>
        <w:rPr>
          <w:rFonts w:hint="eastAsia" w:ascii="仿宋_GB2312" w:hAnsi="仿宋_GB2312" w:eastAsia="仿宋_GB2312" w:cs="仿宋_GB2312"/>
          <w:color w:val="auto"/>
          <w:kern w:val="2"/>
          <w:sz w:val="32"/>
          <w:szCs w:val="32"/>
          <w:highlight w:val="none"/>
          <w:lang w:val="en-US" w:eastAsia="zh-CN" w:bidi="ar-SA"/>
        </w:rPr>
        <w:t>；如果是分支机构参与投标，还须同时提供其具有独立法人资格的主体出具的有效授权书及其所属集团（或总公司）的营业执照等证明材料复印件或扫描件。</w:t>
      </w:r>
    </w:p>
    <w:p>
      <w:pPr>
        <w:pStyle w:val="2"/>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lang w:val="en-US" w:eastAsia="zh-CN"/>
        </w:rPr>
        <w:t>2</w:t>
      </w:r>
      <w:r>
        <w:rPr>
          <w:rFonts w:hint="eastAsia" w:ascii="仿宋_GB2312" w:hAnsi="宋体" w:eastAsia="仿宋_GB2312"/>
          <w:color w:val="auto"/>
          <w:sz w:val="32"/>
          <w:szCs w:val="21"/>
          <w:highlight w:val="none"/>
        </w:rPr>
        <w:t>.政府采购违法行为风险知悉确认书。（要求按规定格式，请务必注意部分内容需要手抄）。</w:t>
      </w:r>
    </w:p>
    <w:p>
      <w:pPr>
        <w:spacing w:line="578" w:lineRule="exact"/>
        <w:ind w:firstLine="640" w:firstLineChars="200"/>
        <w:jc w:val="left"/>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lang w:val="en-US" w:eastAsia="zh-CN"/>
        </w:rPr>
        <w:t>3</w:t>
      </w:r>
      <w:r>
        <w:rPr>
          <w:rFonts w:hint="eastAsia" w:ascii="仿宋_GB2312" w:hAnsi="宋体" w:eastAsia="仿宋_GB2312"/>
          <w:color w:val="auto"/>
          <w:sz w:val="32"/>
          <w:szCs w:val="21"/>
          <w:highlight w:val="none"/>
        </w:rPr>
        <w:t>.无不良行为承诺书（同时需声明是否符合《中华人民共和国政府采购法》第二十二条规定的条件；声明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pPr>
        <w:pStyle w:val="19"/>
        <w:ind w:firstLine="640"/>
        <w:rPr>
          <w:rFonts w:hAnsi="宋体"/>
          <w:color w:val="auto"/>
          <w:highlight w:val="none"/>
        </w:rPr>
      </w:pPr>
      <w:r>
        <w:rPr>
          <w:rFonts w:hint="eastAsia" w:hAnsi="宋体"/>
          <w:color w:val="auto"/>
          <w:highlight w:val="none"/>
          <w:lang w:val="en-US" w:eastAsia="zh-CN"/>
        </w:rPr>
        <w:t>4</w:t>
      </w:r>
      <w:r>
        <w:rPr>
          <w:rFonts w:hAnsi="宋体"/>
          <w:color w:val="auto"/>
          <w:highlight w:val="none"/>
        </w:rPr>
        <w:t>.“信用中国”查询结果（www.creditchina.gov.cn）。具体以开标当日以下渠道的全部查询结果为准，“信用中国”（www.creditchina.gov.cn）、“中国政府采购网”（www.ccgp.gov.cn）、“深圳市政府采购监管网”（http://zfcg.sz.gov.cn），信用信息查询记录（含信用信用报告）作为项目档案材料一并保存，由采购人查询。</w:t>
      </w:r>
    </w:p>
    <w:p>
      <w:pPr>
        <w:pStyle w:val="20"/>
        <w:rPr>
          <w:color w:val="auto"/>
          <w:highlight w:val="none"/>
        </w:rPr>
      </w:pPr>
    </w:p>
    <w:p>
      <w:pPr>
        <w:spacing w:line="578" w:lineRule="exact"/>
        <w:ind w:firstLine="642" w:firstLineChars="200"/>
        <w:jc w:val="left"/>
        <w:rPr>
          <w:rFonts w:hint="eastAsia" w:ascii="仿宋_GB2312" w:hAnsi="宋体" w:eastAsia="仿宋_GB2312"/>
          <w:b/>
          <w:color w:val="auto"/>
          <w:sz w:val="32"/>
          <w:szCs w:val="21"/>
          <w:highlight w:val="none"/>
        </w:rPr>
      </w:pPr>
      <w:r>
        <w:rPr>
          <w:rFonts w:hint="eastAsia" w:ascii="仿宋_GB2312" w:hAnsi="宋体" w:eastAsia="仿宋_GB2312"/>
          <w:b/>
          <w:color w:val="auto"/>
          <w:sz w:val="32"/>
          <w:szCs w:val="21"/>
          <w:highlight w:val="none"/>
        </w:rPr>
        <w:t>二、其他证明材料：</w:t>
      </w:r>
    </w:p>
    <w:p>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1.简要企业概述；</w:t>
      </w:r>
    </w:p>
    <w:p>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2.项目方案；</w:t>
      </w:r>
    </w:p>
    <w:p>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3.拟安排项目管理团队；</w:t>
      </w:r>
    </w:p>
    <w:p>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4.服务承诺及保障措施；</w:t>
      </w:r>
    </w:p>
    <w:p>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5.如供应商为中小企业，应提供《中小企业声明函》；</w:t>
      </w:r>
    </w:p>
    <w:p>
      <w:pPr>
        <w:autoSpaceDE w:val="0"/>
        <w:autoSpaceDN w:val="0"/>
        <w:adjustRightInd w:val="0"/>
        <w:snapToGrid w:val="0"/>
        <w:spacing w:line="560" w:lineRule="exact"/>
        <w:ind w:firstLine="640" w:firstLineChars="200"/>
        <w:rPr>
          <w:rFonts w:hint="eastAsia" w:ascii="仿宋_GB2312" w:hAnsi="宋体" w:eastAsia="仿宋_GB2312"/>
          <w:color w:val="auto"/>
          <w:sz w:val="32"/>
          <w:szCs w:val="21"/>
          <w:highlight w:val="none"/>
        </w:rPr>
      </w:pPr>
      <w:r>
        <w:rPr>
          <w:rFonts w:hint="eastAsia" w:ascii="仿宋_GB2312" w:hAnsi="宋体" w:eastAsia="仿宋_GB2312"/>
          <w:color w:val="auto"/>
          <w:sz w:val="32"/>
          <w:szCs w:val="21"/>
          <w:highlight w:val="none"/>
        </w:rPr>
        <w:t>6.供应商认为需要提交的其他资料。</w:t>
      </w:r>
    </w:p>
    <w:p>
      <w:pPr>
        <w:autoSpaceDE w:val="0"/>
        <w:autoSpaceDN w:val="0"/>
        <w:adjustRightInd w:val="0"/>
        <w:snapToGrid w:val="0"/>
        <w:spacing w:line="560" w:lineRule="exact"/>
        <w:ind w:firstLine="640" w:firstLineChars="200"/>
        <w:rPr>
          <w:rFonts w:ascii="仿宋_GB2312" w:hAnsi="Times New Roman" w:eastAsia="仿宋_GB2312"/>
          <w:color w:val="auto"/>
          <w:sz w:val="32"/>
          <w:szCs w:val="21"/>
          <w:highlight w:val="none"/>
        </w:rPr>
      </w:pPr>
    </w:p>
    <w:p>
      <w:pPr>
        <w:autoSpaceDE w:val="0"/>
        <w:autoSpaceDN w:val="0"/>
        <w:adjustRightInd w:val="0"/>
        <w:snapToGrid w:val="0"/>
        <w:spacing w:line="560" w:lineRule="exact"/>
        <w:ind w:firstLine="560" w:firstLineChars="200"/>
        <w:rPr>
          <w:rFonts w:ascii="仿宋_GB2312" w:hAnsi="Times New Roman" w:eastAsia="仿宋_GB2312"/>
          <w:color w:val="auto"/>
          <w:sz w:val="28"/>
          <w:szCs w:val="21"/>
          <w:highlight w:val="none"/>
        </w:rPr>
      </w:pPr>
      <w:r>
        <w:rPr>
          <w:rFonts w:hint="eastAsia" w:ascii="仿宋_GB2312" w:hAnsi="仿宋_GB2312" w:eastAsia="仿宋_GB2312"/>
          <w:color w:val="auto"/>
          <w:sz w:val="28"/>
          <w:szCs w:val="21"/>
          <w:highlight w:val="none"/>
        </w:rPr>
        <w:t>所</w:t>
      </w:r>
      <w:r>
        <w:rPr>
          <w:rFonts w:hint="eastAsia" w:ascii="仿宋_GB2312" w:hAnsi="Times New Roman" w:eastAsia="仿宋_GB2312"/>
          <w:color w:val="auto"/>
          <w:sz w:val="28"/>
          <w:szCs w:val="21"/>
          <w:highlight w:val="none"/>
        </w:rPr>
        <w:t>提供资质审查材料及其他证明资料均需清晰且加盖公章</w:t>
      </w:r>
    </w:p>
    <w:p>
      <w:pPr>
        <w:autoSpaceDE w:val="0"/>
        <w:autoSpaceDN w:val="0"/>
        <w:adjustRightInd w:val="0"/>
        <w:snapToGrid w:val="0"/>
        <w:spacing w:line="360" w:lineRule="auto"/>
        <w:ind w:firstLine="560" w:firstLineChars="200"/>
        <w:rPr>
          <w:rFonts w:ascii="仿宋_GB2312" w:hAnsi="Times New Roman" w:eastAsia="仿宋_GB2312"/>
          <w:color w:val="auto"/>
          <w:sz w:val="28"/>
          <w:szCs w:val="21"/>
          <w:highlight w:val="none"/>
        </w:rPr>
      </w:pPr>
    </w:p>
    <w:p>
      <w:pPr>
        <w:autoSpaceDE w:val="0"/>
        <w:autoSpaceDN w:val="0"/>
        <w:adjustRightInd w:val="0"/>
        <w:snapToGrid w:val="0"/>
        <w:spacing w:line="360" w:lineRule="auto"/>
        <w:ind w:firstLine="560" w:firstLineChars="200"/>
        <w:rPr>
          <w:color w:val="auto"/>
          <w:highlight w:val="none"/>
        </w:rPr>
      </w:pPr>
      <w:r>
        <w:rPr>
          <w:rFonts w:hint="eastAsia" w:ascii="仿宋_GB2312" w:hAnsi="Times New Roman" w:eastAsia="仿宋_GB2312"/>
          <w:color w:val="auto"/>
          <w:sz w:val="28"/>
          <w:szCs w:val="21"/>
          <w:highlight w:val="none"/>
        </w:rPr>
        <w:t>注：如有《评标方法》评分的相应内容，请详细阐述并提供相关证明及说明，请编制本项目投标文件目录，为便于参与该项目的采购小组成员的评标，快速找到评标事项与该项目响应文件所对应的位置。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2000019F" w:csb1="4F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tLeast"/>
      <w:ind w:firstLine="360" w:firstLineChars="200"/>
      <w:jc w:val="left"/>
      <w:rPr>
        <w:rFonts w:ascii="Times New Roman" w:hAnsi="Times New Roman" w:eastAsia="仿宋"/>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tLeast"/>
      <w:ind w:firstLine="360" w:firstLineChars="200"/>
      <w:jc w:val="left"/>
      <w:rPr>
        <w:rFonts w:ascii="Times New Roman" w:hAnsi="Times New Roman" w:eastAsia="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tLeast"/>
      <w:ind w:firstLine="360" w:firstLineChars="200"/>
      <w:jc w:val="left"/>
      <w:rPr>
        <w:rFonts w:ascii="Times New Roman" w:hAnsi="Times New Roman" w:eastAsia="仿宋"/>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ind w:left="640"/>
      <w:rPr>
        <w:rFonts w:ascii="Times New Roman" w:hAnsi="Times New Roman" w:eastAsia="仿宋"/>
        <w:sz w:val="3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240" w:lineRule="atLeast"/>
      <w:ind w:firstLine="360" w:firstLineChars="200"/>
      <w:jc w:val="center"/>
      <w:rPr>
        <w:rFonts w:ascii="Times New Roman" w:hAnsi="Times New Roman" w:eastAsia="仿宋"/>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240" w:lineRule="atLeast"/>
      <w:ind w:firstLine="360" w:firstLineChars="200"/>
      <w:jc w:val="center"/>
      <w:rPr>
        <w:rFonts w:ascii="Times New Roman" w:hAnsi="Times New Roman" w:eastAsia="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D857"/>
    <w:multiLevelType w:val="multilevel"/>
    <w:tmpl w:val="86E4D857"/>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A19F4D2"/>
    <w:multiLevelType w:val="singleLevel"/>
    <w:tmpl w:val="EA19F4D2"/>
    <w:lvl w:ilvl="0" w:tentative="0">
      <w:start w:val="1"/>
      <w:numFmt w:val="chineseCounting"/>
      <w:suff w:val="nothing"/>
      <w:lvlText w:val="（%1）"/>
      <w:lvlJc w:val="left"/>
      <w:rPr>
        <w:rFonts w:hint="eastAsia"/>
      </w:rPr>
    </w:lvl>
  </w:abstractNum>
  <w:abstractNum w:abstractNumId="2">
    <w:nsid w:val="F1BA6920"/>
    <w:multiLevelType w:val="singleLevel"/>
    <w:tmpl w:val="F1BA6920"/>
    <w:lvl w:ilvl="0" w:tentative="0">
      <w:start w:val="1"/>
      <w:numFmt w:val="chineseCounting"/>
      <w:suff w:val="nothing"/>
      <w:lvlText w:val="（%1）"/>
      <w:lvlJc w:val="left"/>
      <w:rPr>
        <w:rFonts w:hint="eastAsia"/>
      </w:rPr>
    </w:lvl>
  </w:abstractNum>
  <w:abstractNum w:abstractNumId="3">
    <w:nsid w:val="F77CD605"/>
    <w:multiLevelType w:val="multilevel"/>
    <w:tmpl w:val="F77CD60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2BDF3E10"/>
    <w:multiLevelType w:val="multilevel"/>
    <w:tmpl w:val="2BDF3E10"/>
    <w:lvl w:ilvl="0" w:tentative="0">
      <w:start w:val="1"/>
      <w:numFmt w:val="decimal"/>
      <w:suff w:val="space"/>
      <w:lvlText w:val="第%1章 "/>
      <w:lvlJc w:val="left"/>
      <w:pPr>
        <w:ind w:left="2694" w:firstLine="0"/>
      </w:pPr>
      <w:rPr>
        <w:rFonts w:hint="default" w:ascii="Times New Roman" w:hAnsi="Times New Roman" w:eastAsia="黑体" w:cs="Times New Roman"/>
        <w:b w:val="0"/>
        <w:bCs/>
        <w:sz w:val="44"/>
      </w:rPr>
    </w:lvl>
    <w:lvl w:ilvl="1" w:tentative="0">
      <w:start w:val="1"/>
      <w:numFmt w:val="decimal"/>
      <w:isLgl/>
      <w:suff w:val="nothing"/>
      <w:lvlText w:val="%1.%2 "/>
      <w:lvlJc w:val="left"/>
      <w:pPr>
        <w:ind w:left="0" w:firstLine="0"/>
      </w:pPr>
      <w:rPr>
        <w:rFonts w:hint="default" w:ascii="Times New Roman" w:hAnsi="Times New Roman"/>
        <w:lang w:val="en-US"/>
      </w:rPr>
    </w:lvl>
    <w:lvl w:ilvl="2" w:tentative="0">
      <w:start w:val="1"/>
      <w:numFmt w:val="decimal"/>
      <w:pStyle w:val="26"/>
      <w:isLgl/>
      <w:suff w:val="nothing"/>
      <w:lvlText w:val="%1.%2.%3 "/>
      <w:lvlJc w:val="left"/>
      <w:pPr>
        <w:ind w:left="2694" w:firstLine="0"/>
      </w:pPr>
      <w:rPr>
        <w:rFonts w:hint="default" w:ascii="Times New Roman" w:hAnsi="Times New Roman" w:cs="Times New Roman"/>
        <w:sz w:val="30"/>
        <w:szCs w:val="30"/>
        <w:lang w:val="en-US"/>
      </w:rPr>
    </w:lvl>
    <w:lvl w:ilvl="3" w:tentative="0">
      <w:start w:val="1"/>
      <w:numFmt w:val="decimal"/>
      <w:isLgl/>
      <w:suff w:val="nothing"/>
      <w:lvlText w:val="%1.%2.%3.%4 "/>
      <w:lvlJc w:val="left"/>
      <w:pPr>
        <w:ind w:left="993" w:firstLine="0"/>
      </w:pPr>
      <w:rPr>
        <w:rFonts w:hint="default" w:ascii="Times New Roman" w:hAnsi="Times New Roman" w:cs="Times New Roman"/>
        <w:b w:val="0"/>
        <w:bCs/>
        <w:i w:val="0"/>
        <w:iCs w:val="0"/>
        <w:caps w:val="0"/>
        <w:smallCaps w:val="0"/>
        <w:strike w:val="0"/>
        <w:dstrike w:val="0"/>
        <w:vanish w:val="0"/>
        <w:color w:val="000000"/>
        <w:spacing w:val="0"/>
        <w:position w:val="0"/>
        <w:sz w:val="28"/>
        <w:szCs w:val="28"/>
        <w:u w:val="none"/>
        <w:vertAlign w:val="baseline"/>
      </w:rPr>
    </w:lvl>
    <w:lvl w:ilvl="4" w:tentative="0">
      <w:start w:val="1"/>
      <w:numFmt w:val="decimal"/>
      <w:isLgl/>
      <w:suff w:val="space"/>
      <w:lvlText w:val="%1.%2.%3.%4.%5 "/>
      <w:lvlJc w:val="left"/>
      <w:pPr>
        <w:ind w:left="1134" w:hanging="567"/>
      </w:pPr>
      <w:rPr>
        <w:rFonts w:hint="default" w:ascii="Times New Roman" w:hAnsi="Times New Roman" w:cs="Times New Roman"/>
        <w:b w:val="0"/>
        <w:bCs w:val="0"/>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5">
    <w:nsid w:val="32B038A4"/>
    <w:multiLevelType w:val="multilevel"/>
    <w:tmpl w:val="32B038A4"/>
    <w:lvl w:ilvl="0" w:tentative="0">
      <w:start w:val="1"/>
      <w:numFmt w:val="bullet"/>
      <w:pStyle w:val="29"/>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
    <w:nsid w:val="53855B68"/>
    <w:multiLevelType w:val="multilevel"/>
    <w:tmpl w:val="53855B68"/>
    <w:lvl w:ilvl="0" w:tentative="0">
      <w:start w:val="1"/>
      <w:numFmt w:val="chineseCountingThousand"/>
      <w:suff w:val="nothing"/>
      <w:lvlText w:val="第%1章 "/>
      <w:lvlJc w:val="center"/>
      <w:pPr>
        <w:ind w:left="0" w:firstLine="0"/>
      </w:pPr>
      <w:rPr>
        <w:rFonts w:hint="eastAsia" w:ascii="黑体" w:hAnsi="黑体" w:eastAsia="黑体"/>
        <w:b w:val="0"/>
        <w:i w:val="0"/>
        <w:sz w:val="32"/>
      </w:rPr>
    </w:lvl>
    <w:lvl w:ilvl="1" w:tentative="0">
      <w:start w:val="1"/>
      <w:numFmt w:val="decimal"/>
      <w:isLgl/>
      <w:suff w:val="nothing"/>
      <w:lvlText w:val="%1.%2 "/>
      <w:lvlJc w:val="left"/>
      <w:pPr>
        <w:ind w:left="0" w:firstLine="0"/>
      </w:pPr>
      <w:rPr>
        <w:rFonts w:hint="eastAsia" w:ascii="黑体" w:hAnsi="黑体" w:eastAsia="黑体"/>
        <w:b w:val="0"/>
        <w:i w:val="0"/>
        <w:sz w:val="24"/>
      </w:rPr>
    </w:lvl>
    <w:lvl w:ilvl="2" w:tentative="0">
      <w:start w:val="1"/>
      <w:numFmt w:val="decimal"/>
      <w:isLgl/>
      <w:suff w:val="nothing"/>
      <w:lvlText w:val="%1.%2.%3 "/>
      <w:lvlJc w:val="left"/>
      <w:pPr>
        <w:ind w:left="0" w:firstLine="0"/>
      </w:pPr>
      <w:rPr>
        <w:rFonts w:hint="eastAsia" w:ascii="黑体" w:hAnsi="黑体" w:eastAsia="黑体"/>
        <w:b w:val="0"/>
        <w:i w:val="0"/>
        <w:sz w:val="24"/>
      </w:rPr>
    </w:lvl>
    <w:lvl w:ilvl="3" w:tentative="0">
      <w:start w:val="1"/>
      <w:numFmt w:val="decimal"/>
      <w:isLgl/>
      <w:suff w:val="nothing"/>
      <w:lvlText w:val="%1.%2.%3.%4 "/>
      <w:lvlJc w:val="left"/>
      <w:pPr>
        <w:ind w:left="0" w:firstLine="0"/>
      </w:pPr>
      <w:rPr>
        <w:rFonts w:hint="eastAsia" w:ascii="黑体" w:hAnsi="黑体" w:eastAsia="黑体"/>
        <w:b w:val="0"/>
        <w:i w:val="0"/>
        <w:sz w:val="24"/>
      </w:rPr>
    </w:lvl>
    <w:lvl w:ilvl="4" w:tentative="0">
      <w:start w:val="1"/>
      <w:numFmt w:val="decimal"/>
      <w:pStyle w:val="5"/>
      <w:isLgl/>
      <w:suff w:val="nothing"/>
      <w:lvlText w:val="%1.%2.%3.%4.%5 "/>
      <w:lvlJc w:val="left"/>
      <w:pPr>
        <w:ind w:left="0" w:firstLine="0"/>
      </w:pPr>
      <w:rPr>
        <w:rFonts w:hint="eastAsia" w:ascii="黑体" w:hAnsi="黑体" w:eastAsia="黑体"/>
        <w:b w:val="0"/>
        <w:i w:val="0"/>
        <w:sz w:val="24"/>
      </w:rPr>
    </w:lvl>
    <w:lvl w:ilvl="5" w:tentative="0">
      <w:start w:val="1"/>
      <w:numFmt w:val="decimal"/>
      <w:isLgl/>
      <w:suff w:val="nothing"/>
      <w:lvlText w:val="%1.%2.%3.%4.%5.%6 "/>
      <w:lvlJc w:val="left"/>
      <w:pPr>
        <w:ind w:left="0" w:firstLine="0"/>
      </w:pPr>
      <w:rPr>
        <w:rFonts w:hint="eastAsia" w:ascii="黑体" w:hAnsi="黑体" w:eastAsia="黑体"/>
        <w:b w:val="0"/>
        <w:i w:val="0"/>
        <w:sz w:val="24"/>
      </w:rPr>
    </w:lvl>
    <w:lvl w:ilvl="6" w:tentative="0">
      <w:start w:val="1"/>
      <w:numFmt w:val="decimal"/>
      <w:isLgl/>
      <w:suff w:val="nothing"/>
      <w:lvlText w:val="%1.%2.%3.%4.%5.%6.%7 "/>
      <w:lvlJc w:val="left"/>
      <w:pPr>
        <w:ind w:left="0" w:firstLine="0"/>
      </w:pPr>
      <w:rPr>
        <w:rFonts w:hint="eastAsia" w:ascii="黑体" w:hAnsi="黑体" w:eastAsia="黑体"/>
        <w:b w:val="0"/>
        <w:i w:val="0"/>
        <w:sz w:val="24"/>
      </w:rPr>
    </w:lvl>
    <w:lvl w:ilvl="7" w:tentative="0">
      <w:start w:val="1"/>
      <w:numFmt w:val="decimal"/>
      <w:isLgl/>
      <w:suff w:val="nothing"/>
      <w:lvlText w:val="%1.%2.%3.%4.%5.%6.%7.%8 "/>
      <w:lvlJc w:val="left"/>
      <w:pPr>
        <w:ind w:left="0" w:firstLine="0"/>
      </w:pPr>
      <w:rPr>
        <w:rFonts w:hint="eastAsia" w:ascii="黑体" w:hAnsi="黑体" w:eastAsia="黑体"/>
        <w:b w:val="0"/>
        <w:i w:val="0"/>
        <w:sz w:val="24"/>
      </w:rPr>
    </w:lvl>
    <w:lvl w:ilvl="8" w:tentative="0">
      <w:start w:val="1"/>
      <w:numFmt w:val="decimal"/>
      <w:isLgl/>
      <w:suff w:val="nothing"/>
      <w:lvlText w:val="%1.%2.%3.%4.%5.%6.%7.%8.%9 "/>
      <w:lvlJc w:val="left"/>
      <w:pPr>
        <w:ind w:left="0" w:firstLine="0"/>
      </w:pPr>
      <w:rPr>
        <w:rFonts w:hint="eastAsia" w:ascii="黑体" w:hAnsi="黑体" w:eastAsia="黑体"/>
        <w:b w:val="0"/>
        <w:i w:val="0"/>
        <w:sz w:val="24"/>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ZDE1YmViMDlkYzkxMTU3ODg5ZmNiNWRhZTNmMjAifQ=="/>
  </w:docVars>
  <w:rsids>
    <w:rsidRoot w:val="00904BBD"/>
    <w:rsid w:val="001C5447"/>
    <w:rsid w:val="00672DB2"/>
    <w:rsid w:val="00785D21"/>
    <w:rsid w:val="00904BBD"/>
    <w:rsid w:val="00DA185C"/>
    <w:rsid w:val="00E16562"/>
    <w:rsid w:val="039215BA"/>
    <w:rsid w:val="05F4629E"/>
    <w:rsid w:val="076A215A"/>
    <w:rsid w:val="083C2E5C"/>
    <w:rsid w:val="08AA0E39"/>
    <w:rsid w:val="08BE4304"/>
    <w:rsid w:val="09F4173F"/>
    <w:rsid w:val="0B155ABA"/>
    <w:rsid w:val="0B182DC8"/>
    <w:rsid w:val="0BF8212A"/>
    <w:rsid w:val="0CFC449F"/>
    <w:rsid w:val="0DC426E6"/>
    <w:rsid w:val="0DCF2C44"/>
    <w:rsid w:val="12386F11"/>
    <w:rsid w:val="13A72E26"/>
    <w:rsid w:val="13A93E8F"/>
    <w:rsid w:val="14282B24"/>
    <w:rsid w:val="167F7CD4"/>
    <w:rsid w:val="1760BA81"/>
    <w:rsid w:val="17B97829"/>
    <w:rsid w:val="18060B2F"/>
    <w:rsid w:val="18578B09"/>
    <w:rsid w:val="18595A20"/>
    <w:rsid w:val="19FB3676"/>
    <w:rsid w:val="1A150DCB"/>
    <w:rsid w:val="1B1C2967"/>
    <w:rsid w:val="1B242A9B"/>
    <w:rsid w:val="1B983787"/>
    <w:rsid w:val="1D7816E4"/>
    <w:rsid w:val="1EB56498"/>
    <w:rsid w:val="1EFF011E"/>
    <w:rsid w:val="1FDF8AED"/>
    <w:rsid w:val="1FFC2D0E"/>
    <w:rsid w:val="21AD42D7"/>
    <w:rsid w:val="22AB03F8"/>
    <w:rsid w:val="23506C40"/>
    <w:rsid w:val="24BF5CE7"/>
    <w:rsid w:val="2A50137C"/>
    <w:rsid w:val="2A7C0237"/>
    <w:rsid w:val="2AD54D61"/>
    <w:rsid w:val="2B2B1976"/>
    <w:rsid w:val="2D297B2E"/>
    <w:rsid w:val="2D5965AC"/>
    <w:rsid w:val="2DCA7DB0"/>
    <w:rsid w:val="2F5F1268"/>
    <w:rsid w:val="318B42EE"/>
    <w:rsid w:val="318B5505"/>
    <w:rsid w:val="34E412C0"/>
    <w:rsid w:val="3560434C"/>
    <w:rsid w:val="357B67B9"/>
    <w:rsid w:val="36346B67"/>
    <w:rsid w:val="37C84FA7"/>
    <w:rsid w:val="37D604B0"/>
    <w:rsid w:val="37FBE671"/>
    <w:rsid w:val="381326AB"/>
    <w:rsid w:val="385C3D99"/>
    <w:rsid w:val="3897BA5D"/>
    <w:rsid w:val="39752447"/>
    <w:rsid w:val="3A3279E7"/>
    <w:rsid w:val="3B696F7C"/>
    <w:rsid w:val="3B7F9B70"/>
    <w:rsid w:val="3BEFC433"/>
    <w:rsid w:val="3BF9B58B"/>
    <w:rsid w:val="3D676E7D"/>
    <w:rsid w:val="3DC3526B"/>
    <w:rsid w:val="3DFA4F9E"/>
    <w:rsid w:val="3EB00317"/>
    <w:rsid w:val="3FBE64CD"/>
    <w:rsid w:val="403B3CB7"/>
    <w:rsid w:val="42605234"/>
    <w:rsid w:val="43C24B4C"/>
    <w:rsid w:val="44D57F7F"/>
    <w:rsid w:val="454D5A9C"/>
    <w:rsid w:val="467459B4"/>
    <w:rsid w:val="46EA212F"/>
    <w:rsid w:val="477F704D"/>
    <w:rsid w:val="47A33B53"/>
    <w:rsid w:val="48695B17"/>
    <w:rsid w:val="4A670BCB"/>
    <w:rsid w:val="4CB44B77"/>
    <w:rsid w:val="4F060D34"/>
    <w:rsid w:val="4F1A3075"/>
    <w:rsid w:val="4FA3470B"/>
    <w:rsid w:val="4FEF8832"/>
    <w:rsid w:val="50AE7EBE"/>
    <w:rsid w:val="533B540A"/>
    <w:rsid w:val="539C5DDE"/>
    <w:rsid w:val="555B255C"/>
    <w:rsid w:val="55FE5936"/>
    <w:rsid w:val="561911BC"/>
    <w:rsid w:val="56DED16D"/>
    <w:rsid w:val="576DC128"/>
    <w:rsid w:val="57E7B706"/>
    <w:rsid w:val="57EF1C41"/>
    <w:rsid w:val="593C19CE"/>
    <w:rsid w:val="5A7F9BCB"/>
    <w:rsid w:val="5BFEEBAE"/>
    <w:rsid w:val="5CF6E40D"/>
    <w:rsid w:val="5D9B1BE5"/>
    <w:rsid w:val="5DBF5034"/>
    <w:rsid w:val="5E1A07BD"/>
    <w:rsid w:val="5E5F6778"/>
    <w:rsid w:val="5EF44082"/>
    <w:rsid w:val="5FAF01EE"/>
    <w:rsid w:val="5FDF24D9"/>
    <w:rsid w:val="5FFFA4FC"/>
    <w:rsid w:val="615210B5"/>
    <w:rsid w:val="62B94B05"/>
    <w:rsid w:val="638F358E"/>
    <w:rsid w:val="63F80D02"/>
    <w:rsid w:val="643E7318"/>
    <w:rsid w:val="6465648A"/>
    <w:rsid w:val="67844DDD"/>
    <w:rsid w:val="67C721A8"/>
    <w:rsid w:val="68A27080"/>
    <w:rsid w:val="69A31C95"/>
    <w:rsid w:val="69FF52C9"/>
    <w:rsid w:val="69FFF03D"/>
    <w:rsid w:val="6A597B23"/>
    <w:rsid w:val="6BE356E6"/>
    <w:rsid w:val="6DD5DA98"/>
    <w:rsid w:val="6DFE4CB2"/>
    <w:rsid w:val="6ED50240"/>
    <w:rsid w:val="6EDE1835"/>
    <w:rsid w:val="6EEF9DD2"/>
    <w:rsid w:val="6F7C86EA"/>
    <w:rsid w:val="6F9E3B94"/>
    <w:rsid w:val="701D6958"/>
    <w:rsid w:val="70F53E87"/>
    <w:rsid w:val="71422317"/>
    <w:rsid w:val="752E0604"/>
    <w:rsid w:val="769E4B89"/>
    <w:rsid w:val="774A30D8"/>
    <w:rsid w:val="77F68B38"/>
    <w:rsid w:val="77FF5C81"/>
    <w:rsid w:val="7829733F"/>
    <w:rsid w:val="793FF9B5"/>
    <w:rsid w:val="799850DC"/>
    <w:rsid w:val="79D42BF8"/>
    <w:rsid w:val="79F4A31C"/>
    <w:rsid w:val="7A11144B"/>
    <w:rsid w:val="7A370FA9"/>
    <w:rsid w:val="7B00036D"/>
    <w:rsid w:val="7B996AB1"/>
    <w:rsid w:val="7BBD5749"/>
    <w:rsid w:val="7BBF66A7"/>
    <w:rsid w:val="7BCFE976"/>
    <w:rsid w:val="7BE13F9D"/>
    <w:rsid w:val="7BEBC5FE"/>
    <w:rsid w:val="7BFF6401"/>
    <w:rsid w:val="7C5EF134"/>
    <w:rsid w:val="7CD7FE86"/>
    <w:rsid w:val="7CE7C8E0"/>
    <w:rsid w:val="7E0D60CF"/>
    <w:rsid w:val="7E65EA68"/>
    <w:rsid w:val="7E7FC82E"/>
    <w:rsid w:val="7EA72E1A"/>
    <w:rsid w:val="7EBF8021"/>
    <w:rsid w:val="7EE50584"/>
    <w:rsid w:val="7EF7D6E2"/>
    <w:rsid w:val="7F3CC53C"/>
    <w:rsid w:val="7FB7497D"/>
    <w:rsid w:val="7FBFAE6B"/>
    <w:rsid w:val="7FDF4813"/>
    <w:rsid w:val="7FFD872F"/>
    <w:rsid w:val="7FFEF94C"/>
    <w:rsid w:val="8BFE9DA8"/>
    <w:rsid w:val="93BF29B1"/>
    <w:rsid w:val="95FD1C7E"/>
    <w:rsid w:val="97A39CEF"/>
    <w:rsid w:val="97E6C156"/>
    <w:rsid w:val="A9FB9FA7"/>
    <w:rsid w:val="ABFFF8D6"/>
    <w:rsid w:val="AD5F5142"/>
    <w:rsid w:val="AD7F2965"/>
    <w:rsid w:val="AEF2191F"/>
    <w:rsid w:val="B3D3DFCB"/>
    <w:rsid w:val="B3FF30D5"/>
    <w:rsid w:val="B67E8342"/>
    <w:rsid w:val="B6FF1596"/>
    <w:rsid w:val="B83FB1DC"/>
    <w:rsid w:val="BD7FF621"/>
    <w:rsid w:val="BE2F1CF0"/>
    <w:rsid w:val="BEAEDB23"/>
    <w:rsid w:val="BEFFAC5B"/>
    <w:rsid w:val="BF7E0203"/>
    <w:rsid w:val="BF7FBE31"/>
    <w:rsid w:val="BFBF7ADD"/>
    <w:rsid w:val="BFF5940C"/>
    <w:rsid w:val="BFFE1331"/>
    <w:rsid w:val="C7FEE9CC"/>
    <w:rsid w:val="CAF78957"/>
    <w:rsid w:val="CF377CC5"/>
    <w:rsid w:val="D4FF3158"/>
    <w:rsid w:val="DBD13576"/>
    <w:rsid w:val="DD7B9237"/>
    <w:rsid w:val="DDEF01E5"/>
    <w:rsid w:val="DDF99292"/>
    <w:rsid w:val="DDFF8D43"/>
    <w:rsid w:val="DF7B8D8A"/>
    <w:rsid w:val="DFEF3E02"/>
    <w:rsid w:val="DFF9173B"/>
    <w:rsid w:val="DFFFE13C"/>
    <w:rsid w:val="EA76ECEA"/>
    <w:rsid w:val="EB9F47EE"/>
    <w:rsid w:val="ED3D1B2D"/>
    <w:rsid w:val="ED7BFAAC"/>
    <w:rsid w:val="EEBB6E04"/>
    <w:rsid w:val="EEBE19D9"/>
    <w:rsid w:val="EEE59E83"/>
    <w:rsid w:val="EFE18E53"/>
    <w:rsid w:val="F15F4213"/>
    <w:rsid w:val="F2F07531"/>
    <w:rsid w:val="F3A7E93F"/>
    <w:rsid w:val="F5B6A5A1"/>
    <w:rsid w:val="F7797D18"/>
    <w:rsid w:val="F7E9D6FB"/>
    <w:rsid w:val="F7F429B8"/>
    <w:rsid w:val="F7FF9A89"/>
    <w:rsid w:val="F91CB538"/>
    <w:rsid w:val="FB7F18A8"/>
    <w:rsid w:val="FBBDC228"/>
    <w:rsid w:val="FBBF4B32"/>
    <w:rsid w:val="FBC7F59F"/>
    <w:rsid w:val="FBF74092"/>
    <w:rsid w:val="FBF7D0FA"/>
    <w:rsid w:val="FBFC9C28"/>
    <w:rsid w:val="FCF5D3ED"/>
    <w:rsid w:val="FDD54396"/>
    <w:rsid w:val="FDF78416"/>
    <w:rsid w:val="FE53B785"/>
    <w:rsid w:val="FE9B52EA"/>
    <w:rsid w:val="FEEB8BBF"/>
    <w:rsid w:val="FEF51914"/>
    <w:rsid w:val="FF321902"/>
    <w:rsid w:val="FFBF4E1B"/>
    <w:rsid w:val="FFDBA7A4"/>
    <w:rsid w:val="FFDFEAB1"/>
    <w:rsid w:val="FFEB312A"/>
    <w:rsid w:val="FFEF5050"/>
    <w:rsid w:val="FFEFAC9C"/>
    <w:rsid w:val="FFF7C138"/>
    <w:rsid w:val="FFF7D1AE"/>
    <w:rsid w:val="FFFB8887"/>
    <w:rsid w:val="FFFBBECA"/>
    <w:rsid w:val="FFFFD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ind w:firstLine="641" w:firstLineChars="200"/>
      <w:jc w:val="both"/>
      <w:outlineLvl w:val="0"/>
    </w:pPr>
    <w:rPr>
      <w:rFonts w:ascii="Times New Roman" w:hAnsi="Times New Roman" w:eastAsia="仿宋" w:cs="Times New Roman"/>
      <w:b/>
      <w:bCs/>
      <w:kern w:val="44"/>
      <w:sz w:val="44"/>
      <w:szCs w:val="44"/>
      <w:lang w:val="en-US" w:eastAsia="zh-CN" w:bidi="ar-SA"/>
    </w:rPr>
  </w:style>
  <w:style w:type="paragraph" w:styleId="4">
    <w:name w:val="heading 3"/>
    <w:basedOn w:val="1"/>
    <w:next w:val="1"/>
    <w:qFormat/>
    <w:uiPriority w:val="0"/>
    <w:pPr>
      <w:keepNext/>
      <w:keepLines/>
      <w:numPr>
        <w:ilvl w:val="2"/>
        <w:numId w:val="1"/>
      </w:numPr>
      <w:spacing w:before="260" w:after="260" w:line="416" w:lineRule="auto"/>
      <w:ind w:hanging="720"/>
      <w:outlineLvl w:val="2"/>
    </w:pPr>
    <w:rPr>
      <w:b/>
      <w:bCs/>
      <w:sz w:val="32"/>
      <w:szCs w:val="32"/>
    </w:rPr>
  </w:style>
  <w:style w:type="paragraph" w:styleId="5">
    <w:name w:val="heading 5"/>
    <w:basedOn w:val="1"/>
    <w:next w:val="1"/>
    <w:qFormat/>
    <w:uiPriority w:val="0"/>
    <w:pPr>
      <w:keepNext/>
      <w:keepLines/>
      <w:widowControl w:val="0"/>
      <w:numPr>
        <w:ilvl w:val="4"/>
        <w:numId w:val="2"/>
      </w:numPr>
      <w:spacing w:line="400" w:lineRule="exact"/>
      <w:outlineLvl w:val="4"/>
    </w:pPr>
    <w:rPr>
      <w:rFonts w:ascii="Arial" w:hAnsi="Arial" w:eastAsia="黑体" w:cs="Times New Roman"/>
      <w:bCs/>
      <w:kern w:val="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5"/>
    <w:qFormat/>
    <w:uiPriority w:val="0"/>
    <w:pPr>
      <w:spacing w:line="560" w:lineRule="exact"/>
      <w:ind w:firstLine="420" w:firstLineChars="200"/>
    </w:pPr>
  </w:style>
  <w:style w:type="paragraph" w:styleId="6">
    <w:name w:val="annotation text"/>
    <w:basedOn w:val="1"/>
    <w:link w:val="22"/>
    <w:qFormat/>
    <w:uiPriority w:val="0"/>
    <w:pPr>
      <w:jc w:val="left"/>
    </w:pPr>
  </w:style>
  <w:style w:type="paragraph" w:styleId="7">
    <w:name w:val="Body Text"/>
    <w:basedOn w:val="1"/>
    <w:next w:val="8"/>
    <w:qFormat/>
    <w:uiPriority w:val="0"/>
    <w:pPr>
      <w:spacing w:line="360" w:lineRule="auto"/>
    </w:pPr>
    <w:rPr>
      <w:b/>
      <w:bCs/>
      <w:sz w:val="24"/>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pPr>
      <w:spacing w:line="560" w:lineRule="exact"/>
      <w:ind w:firstLine="641" w:firstLineChars="200"/>
    </w:pPr>
    <w:rPr>
      <w:rFonts w:hint="eastAsia" w:ascii="宋体" w:hAnsi="Courier New" w:eastAsia="仿宋"/>
      <w:sz w:val="32"/>
    </w:rPr>
  </w:style>
  <w:style w:type="paragraph" w:styleId="10">
    <w:name w:val="footer"/>
    <w:basedOn w:val="1"/>
    <w:qFormat/>
    <w:uiPriority w:val="0"/>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6"/>
    <w:next w:val="6"/>
    <w:link w:val="23"/>
    <w:qFormat/>
    <w:uiPriority w:val="0"/>
    <w:rPr>
      <w:b/>
      <w:bCs/>
    </w:rPr>
  </w:style>
  <w:style w:type="table" w:styleId="1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函 正文"/>
    <w:unhideWhenUsed/>
    <w:qFormat/>
    <w:uiPriority w:val="0"/>
    <w:pPr>
      <w:widowControl w:val="0"/>
      <w:spacing w:line="560" w:lineRule="exact"/>
      <w:ind w:firstLine="641" w:firstLineChars="200"/>
      <w:jc w:val="both"/>
    </w:pPr>
    <w:rPr>
      <w:rFonts w:hint="eastAsia" w:ascii="仿宋_GB2312" w:hAnsi="Calibri" w:eastAsia="仿宋_GB2312" w:cs="Times New Roman"/>
      <w:sz w:val="32"/>
      <w:lang w:val="en-US" w:eastAsia="zh-CN" w:bidi="ar-SA"/>
    </w:rPr>
  </w:style>
  <w:style w:type="paragraph" w:customStyle="1" w:styleId="20">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 w:type="paragraph" w:customStyle="1" w:styleId="2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2">
    <w:name w:val="批注文字 字符"/>
    <w:basedOn w:val="16"/>
    <w:link w:val="6"/>
    <w:qFormat/>
    <w:uiPriority w:val="0"/>
    <w:rPr>
      <w:rFonts w:ascii="Calibri" w:hAnsi="Calibri"/>
      <w:kern w:val="2"/>
      <w:sz w:val="21"/>
      <w:szCs w:val="24"/>
    </w:rPr>
  </w:style>
  <w:style w:type="character" w:customStyle="1" w:styleId="23">
    <w:name w:val="批注主题 字符"/>
    <w:basedOn w:val="22"/>
    <w:link w:val="13"/>
    <w:qFormat/>
    <w:uiPriority w:val="0"/>
    <w:rPr>
      <w:rFonts w:ascii="Calibri" w:hAnsi="Calibri"/>
      <w:b/>
      <w:bCs/>
      <w:kern w:val="2"/>
      <w:sz w:val="21"/>
      <w:szCs w:val="24"/>
    </w:rPr>
  </w:style>
  <w:style w:type="paragraph" w:styleId="24">
    <w:name w:val="List Paragraph"/>
    <w:basedOn w:val="1"/>
    <w:unhideWhenUsed/>
    <w:qFormat/>
    <w:uiPriority w:val="99"/>
    <w:pPr>
      <w:ind w:firstLine="420" w:firstLineChars="200"/>
    </w:pPr>
  </w:style>
  <w:style w:type="character" w:customStyle="1" w:styleId="25">
    <w:name w:val="正文缩进 字符"/>
    <w:link w:val="2"/>
    <w:qFormat/>
    <w:uiPriority w:val="0"/>
    <w:rPr>
      <w:rFonts w:ascii="Calibri" w:hAnsi="Calibri"/>
      <w:kern w:val="2"/>
      <w:sz w:val="21"/>
      <w:szCs w:val="24"/>
    </w:rPr>
  </w:style>
  <w:style w:type="paragraph" w:customStyle="1" w:styleId="26">
    <w:name w:val="3 级标题"/>
    <w:basedOn w:val="4"/>
    <w:next w:val="27"/>
    <w:qFormat/>
    <w:uiPriority w:val="0"/>
    <w:pPr>
      <w:numPr>
        <w:ilvl w:val="2"/>
        <w:numId w:val="3"/>
      </w:numPr>
      <w:spacing w:before="120" w:after="120" w:line="360" w:lineRule="auto"/>
      <w:ind w:left="0" w:right="37" w:rightChars="13"/>
    </w:pPr>
    <w:rPr>
      <w:rFonts w:ascii="黑体" w:hAnsi="黑体" w:eastAsia="黑体"/>
      <w:sz w:val="30"/>
      <w:szCs w:val="30"/>
      <w:lang w:val="zh-CN"/>
    </w:rPr>
  </w:style>
  <w:style w:type="paragraph" w:customStyle="1" w:styleId="27">
    <w:name w:val="00 正文"/>
    <w:basedOn w:val="1"/>
    <w:qFormat/>
    <w:uiPriority w:val="0"/>
    <w:pPr>
      <w:spacing w:before="156" w:beforeLines="50" w:line="360" w:lineRule="auto"/>
    </w:pPr>
    <w:rPr>
      <w:rFonts w:ascii="宋体" w:hAnsi="宋体"/>
      <w:lang w:val="zh-CN"/>
    </w:rPr>
  </w:style>
  <w:style w:type="paragraph" w:customStyle="1" w:styleId="28">
    <w:name w:val="BG正文"/>
    <w:basedOn w:val="1"/>
    <w:qFormat/>
    <w:uiPriority w:val="0"/>
    <w:pPr>
      <w:widowControl w:val="0"/>
      <w:overflowPunct w:val="0"/>
      <w:adjustRightInd w:val="0"/>
      <w:snapToGrid w:val="0"/>
      <w:spacing w:line="400" w:lineRule="exact"/>
      <w:ind w:firstLine="480" w:firstLineChars="200"/>
      <w:jc w:val="both"/>
    </w:pPr>
    <w:rPr>
      <w:rFonts w:ascii="仿宋_GB2312" w:hAnsi="仿宋_GB2312" w:eastAsia="仿宋_GB2312" w:cs="Times New Roman"/>
      <w:color w:val="000000"/>
      <w:kern w:val="2"/>
      <w:szCs w:val="28"/>
      <w:lang w:eastAsia="zh-Hans"/>
    </w:rPr>
  </w:style>
  <w:style w:type="paragraph" w:customStyle="1" w:styleId="29">
    <w:name w:val="小箭头"/>
    <w:basedOn w:val="1"/>
    <w:qFormat/>
    <w:uiPriority w:val="0"/>
    <w:pPr>
      <w:widowControl w:val="0"/>
      <w:numPr>
        <w:ilvl w:val="0"/>
        <w:numId w:val="4"/>
      </w:numPr>
      <w:spacing w:line="400" w:lineRule="exact"/>
      <w:ind w:left="0" w:firstLine="480" w:firstLineChars="200"/>
      <w:jc w:val="both"/>
    </w:pPr>
    <w:rPr>
      <w:rFonts w:ascii="仿宋_GB2312" w:hAnsi="仿宋_GB2312" w:eastAsia="仿宋_GB2312" w:cs="Times New Roman"/>
      <w:kern w:val="2"/>
      <w:szCs w:val="32"/>
    </w:rPr>
  </w:style>
  <w:style w:type="paragraph" w:customStyle="1" w:styleId="30">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7212</Words>
  <Characters>7450</Characters>
  <Lines>64</Lines>
  <Paragraphs>18</Paragraphs>
  <TotalTime>15</TotalTime>
  <ScaleCrop>false</ScaleCrop>
  <LinksUpToDate>false</LinksUpToDate>
  <CharactersWithSpaces>8498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2024-09-27T02:09:00Z</dcterms:created>
  <dc:creator>zhc-zhangjun</dc:creator>
  <cp:lastModifiedBy>maijinghua</cp:lastModifiedBy>
  <cp:lastPrinted>2024-10-15T22:55:00Z</cp:lastPrinted>
  <dcterms:modified xsi:type="dcterms:W3CDTF">2025-11-07T17:35:05Z</dcterms:modified>
  <dc:title>市委金融办关于政务服务质量提升服务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39EA6C2BE8B5796FB4580C69BB568C98_43</vt:lpwstr>
  </property>
</Properties>
</file>