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026E2">
      <w:pPr>
        <w:spacing w:line="560" w:lineRule="exact"/>
        <w:jc w:val="center"/>
        <w:rPr>
          <w:rFonts w:hint="eastAsia" w:ascii="方正小标宋_GBK" w:hAnsi="方正小标宋_GBK" w:eastAsia="方正小标宋_GBK" w:cs="方正小标宋_GBK"/>
          <w:color w:val="auto"/>
          <w:sz w:val="48"/>
          <w:szCs w:val="48"/>
          <w:highlight w:val="none"/>
          <w:lang w:eastAsia="zh-CN"/>
        </w:rPr>
      </w:pPr>
    </w:p>
    <w:p w14:paraId="674A0B6A">
      <w:pPr>
        <w:spacing w:line="560" w:lineRule="exact"/>
        <w:jc w:val="center"/>
        <w:rPr>
          <w:rFonts w:hint="eastAsia" w:ascii="方正小标宋_GBK" w:hAnsi="方正小标宋_GBK" w:eastAsia="方正小标宋_GBK" w:cs="方正小标宋_GBK"/>
          <w:color w:val="auto"/>
          <w:sz w:val="48"/>
          <w:szCs w:val="48"/>
          <w:highlight w:val="none"/>
          <w:lang w:eastAsia="zh-CN"/>
        </w:rPr>
      </w:pPr>
    </w:p>
    <w:p w14:paraId="52624421">
      <w:pPr>
        <w:spacing w:line="560" w:lineRule="exact"/>
        <w:jc w:val="center"/>
        <w:rPr>
          <w:rFonts w:hint="eastAsia" w:ascii="方正小标宋_GBK" w:hAnsi="方正小标宋_GBK" w:eastAsia="方正小标宋_GBK" w:cs="方正小标宋_GBK"/>
          <w:color w:val="auto"/>
          <w:sz w:val="48"/>
          <w:szCs w:val="48"/>
          <w:highlight w:val="none"/>
          <w:lang w:eastAsia="zh-CN"/>
        </w:rPr>
      </w:pPr>
    </w:p>
    <w:p w14:paraId="7B4CA0D9">
      <w:pPr>
        <w:spacing w:line="560" w:lineRule="exact"/>
        <w:jc w:val="center"/>
        <w:rPr>
          <w:rFonts w:hint="eastAsia" w:ascii="方正小标宋_GBK" w:hAnsi="方正小标宋_GBK" w:eastAsia="方正小标宋_GBK" w:cs="方正小标宋_GBK"/>
          <w:color w:val="auto"/>
          <w:sz w:val="48"/>
          <w:szCs w:val="48"/>
          <w:highlight w:val="none"/>
          <w:lang w:eastAsia="zh-CN"/>
        </w:rPr>
      </w:pPr>
    </w:p>
    <w:p w14:paraId="254E6B1F">
      <w:pPr>
        <w:spacing w:line="560" w:lineRule="exact"/>
        <w:jc w:val="center"/>
        <w:rPr>
          <w:rFonts w:hint="eastAsia" w:ascii="方正小标宋_GBK" w:hAnsi="方正小标宋_GBK" w:eastAsia="方正小标宋_GBK" w:cs="方正小标宋_GBK"/>
          <w:color w:val="auto"/>
          <w:sz w:val="48"/>
          <w:szCs w:val="48"/>
          <w:highlight w:val="none"/>
          <w:lang w:eastAsia="zh-CN"/>
        </w:rPr>
      </w:pPr>
    </w:p>
    <w:p w14:paraId="6430A6DE">
      <w:pPr>
        <w:spacing w:line="560" w:lineRule="exact"/>
        <w:jc w:val="center"/>
        <w:rPr>
          <w:rFonts w:hint="eastAsia" w:ascii="方正小标宋_GBK" w:hAnsi="方正小标宋_GBK" w:eastAsia="方正小标宋_GBK" w:cs="方正小标宋_GBK"/>
          <w:color w:val="auto"/>
          <w:sz w:val="48"/>
          <w:szCs w:val="48"/>
          <w:highlight w:val="none"/>
          <w:lang w:eastAsia="zh-CN"/>
        </w:rPr>
      </w:pPr>
    </w:p>
    <w:p w14:paraId="083A3303">
      <w:pPr>
        <w:spacing w:line="560" w:lineRule="exact"/>
        <w:jc w:val="center"/>
        <w:rPr>
          <w:rFonts w:hint="eastAsia" w:ascii="方正小标宋_GBK" w:hAnsi="方正小标宋_GBK" w:eastAsia="方正小标宋_GBK" w:cs="方正小标宋_GBK"/>
          <w:color w:val="auto"/>
          <w:sz w:val="48"/>
          <w:szCs w:val="48"/>
          <w:highlight w:val="none"/>
          <w:lang w:eastAsia="zh-CN"/>
        </w:rPr>
      </w:pPr>
      <w:r>
        <w:rPr>
          <w:rFonts w:hint="eastAsia" w:ascii="方正小标宋_GBK" w:hAnsi="方正小标宋_GBK" w:eastAsia="方正小标宋_GBK" w:cs="方正小标宋_GBK"/>
          <w:color w:val="auto"/>
          <w:sz w:val="48"/>
          <w:szCs w:val="48"/>
          <w:highlight w:val="none"/>
          <w:lang w:eastAsia="zh-CN"/>
        </w:rPr>
        <w:t>市智慧金融综合服务平台（一期）第三方验收测评服务</w:t>
      </w:r>
    </w:p>
    <w:p w14:paraId="3EF4AA05">
      <w:pPr>
        <w:spacing w:line="560" w:lineRule="exact"/>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项目采购文件</w:t>
      </w:r>
    </w:p>
    <w:p w14:paraId="633D356D">
      <w:pPr>
        <w:spacing w:after="312" w:line="560" w:lineRule="exact"/>
        <w:jc w:val="center"/>
        <w:rPr>
          <w:rFonts w:ascii="仿宋_GB2312" w:hAnsi="仿宋_GB2312" w:eastAsia="仿宋_GB2312" w:cs="仿宋_GB2312"/>
          <w:b/>
          <w:bCs/>
          <w:color w:val="auto"/>
          <w:sz w:val="36"/>
          <w:szCs w:val="28"/>
          <w:highlight w:val="none"/>
        </w:rPr>
      </w:pPr>
    </w:p>
    <w:p w14:paraId="415F9E06">
      <w:pPr>
        <w:spacing w:after="312" w:line="560" w:lineRule="exact"/>
        <w:jc w:val="left"/>
        <w:rPr>
          <w:rFonts w:ascii="仿宋_GB2312" w:hAnsi="仿宋_GB2312" w:eastAsia="仿宋_GB2312" w:cs="仿宋_GB2312"/>
          <w:b/>
          <w:bCs/>
          <w:color w:val="auto"/>
          <w:sz w:val="28"/>
          <w:szCs w:val="22"/>
          <w:highlight w:val="none"/>
        </w:rPr>
      </w:pPr>
    </w:p>
    <w:p w14:paraId="5E57B4A1">
      <w:pPr>
        <w:spacing w:after="312" w:line="560" w:lineRule="exact"/>
        <w:jc w:val="left"/>
        <w:rPr>
          <w:rFonts w:ascii="仿宋_GB2312" w:hAnsi="仿宋_GB2312" w:eastAsia="仿宋_GB2312" w:cs="仿宋_GB2312"/>
          <w:b/>
          <w:bCs/>
          <w:color w:val="auto"/>
          <w:sz w:val="28"/>
          <w:szCs w:val="22"/>
          <w:highlight w:val="none"/>
        </w:rPr>
      </w:pPr>
    </w:p>
    <w:p w14:paraId="5CDC94DA">
      <w:pPr>
        <w:spacing w:after="312" w:line="560" w:lineRule="exact"/>
        <w:jc w:val="left"/>
        <w:rPr>
          <w:rFonts w:ascii="仿宋_GB2312" w:hAnsi="仿宋_GB2312" w:eastAsia="仿宋_GB2312" w:cs="仿宋_GB2312"/>
          <w:b/>
          <w:bCs/>
          <w:color w:val="auto"/>
          <w:sz w:val="28"/>
          <w:szCs w:val="22"/>
          <w:highlight w:val="none"/>
        </w:rPr>
      </w:pPr>
    </w:p>
    <w:p w14:paraId="14F2D771">
      <w:pPr>
        <w:spacing w:after="312" w:line="560" w:lineRule="exact"/>
        <w:jc w:val="left"/>
        <w:rPr>
          <w:rFonts w:ascii="仿宋_GB2312" w:hAnsi="仿宋_GB2312" w:eastAsia="仿宋_GB2312" w:cs="仿宋_GB2312"/>
          <w:b/>
          <w:bCs/>
          <w:color w:val="auto"/>
          <w:sz w:val="28"/>
          <w:szCs w:val="22"/>
          <w:highlight w:val="none"/>
        </w:rPr>
      </w:pPr>
    </w:p>
    <w:p w14:paraId="3A720099">
      <w:pPr>
        <w:spacing w:line="560" w:lineRule="exact"/>
        <w:jc w:val="left"/>
        <w:rPr>
          <w:rFonts w:ascii="仿宋_GB2312" w:hAnsi="仿宋_GB2312" w:eastAsia="仿宋_GB2312" w:cs="仿宋_GB2312"/>
          <w:b/>
          <w:bCs/>
          <w:color w:val="auto"/>
          <w:sz w:val="32"/>
          <w:highlight w:val="none"/>
        </w:rPr>
      </w:pPr>
    </w:p>
    <w:p w14:paraId="5389B1E1">
      <w:pPr>
        <w:spacing w:line="560" w:lineRule="exact"/>
        <w:jc w:val="left"/>
        <w:rPr>
          <w:rFonts w:ascii="仿宋_GB2312" w:hAnsi="仿宋_GB2312" w:eastAsia="仿宋_GB2312" w:cs="仿宋_GB2312"/>
          <w:b/>
          <w:bCs/>
          <w:color w:val="auto"/>
          <w:sz w:val="32"/>
          <w:highlight w:val="none"/>
        </w:rPr>
      </w:pPr>
    </w:p>
    <w:p w14:paraId="091F605A">
      <w:pPr>
        <w:spacing w:line="560" w:lineRule="exact"/>
        <w:jc w:val="left"/>
        <w:rPr>
          <w:rFonts w:ascii="仿宋_GB2312" w:hAnsi="仿宋_GB2312" w:eastAsia="仿宋_GB2312" w:cs="仿宋_GB2312"/>
          <w:b/>
          <w:bCs/>
          <w:color w:val="auto"/>
          <w:sz w:val="32"/>
          <w:highlight w:val="none"/>
        </w:rPr>
      </w:pPr>
    </w:p>
    <w:p w14:paraId="40CDA245">
      <w:pPr>
        <w:widowControl/>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bidi="ar"/>
        </w:rPr>
      </w:pPr>
    </w:p>
    <w:p w14:paraId="3F87A503">
      <w:pPr>
        <w:widowControl/>
        <w:spacing w:line="560" w:lineRule="exact"/>
        <w:ind w:left="0" w:leftChars="0" w:firstLine="640" w:firstLineChars="200"/>
        <w:jc w:val="center"/>
        <w:rPr>
          <w:rFonts w:hint="eastAsia" w:ascii="黑体" w:hAnsi="黑体" w:eastAsia="黑体" w:cs="黑体"/>
          <w:color w:val="auto"/>
          <w:kern w:val="0"/>
          <w:sz w:val="32"/>
          <w:szCs w:val="32"/>
          <w:highlight w:val="none"/>
          <w:u w:val="none"/>
          <w:shd w:val="clear" w:color="auto" w:fill="FFFFFF"/>
          <w:lang w:bidi="ar"/>
        </w:rPr>
      </w:pPr>
      <w:r>
        <w:rPr>
          <w:rFonts w:hint="eastAsia" w:ascii="黑体" w:hAnsi="黑体" w:eastAsia="黑体" w:cs="黑体"/>
          <w:color w:val="auto"/>
          <w:kern w:val="0"/>
          <w:sz w:val="32"/>
          <w:szCs w:val="32"/>
          <w:highlight w:val="none"/>
          <w:shd w:val="clear" w:color="auto" w:fill="FFFFFF"/>
          <w:lang w:bidi="ar"/>
        </w:rPr>
        <w:t>项目名称：</w:t>
      </w:r>
      <w:r>
        <w:rPr>
          <w:rFonts w:hint="eastAsia" w:ascii="黑体" w:hAnsi="黑体" w:eastAsia="黑体" w:cs="黑体"/>
          <w:color w:val="auto"/>
          <w:kern w:val="0"/>
          <w:sz w:val="32"/>
          <w:szCs w:val="32"/>
          <w:highlight w:val="none"/>
          <w:u w:val="none"/>
          <w:shd w:val="clear" w:color="auto" w:fill="FFFFFF"/>
          <w:lang w:bidi="ar"/>
        </w:rPr>
        <w:t>市智慧金融综合服务平台（一期）</w:t>
      </w:r>
    </w:p>
    <w:p w14:paraId="04D4C3AF">
      <w:pPr>
        <w:widowControl/>
        <w:spacing w:line="560" w:lineRule="exact"/>
        <w:ind w:left="0" w:leftChars="0" w:firstLine="640" w:firstLineChars="200"/>
        <w:jc w:val="center"/>
        <w:rPr>
          <w:rFonts w:hint="eastAsia" w:ascii="黑体" w:hAnsi="黑体" w:eastAsia="黑体" w:cs="黑体"/>
          <w:color w:val="auto"/>
          <w:kern w:val="0"/>
          <w:sz w:val="32"/>
          <w:szCs w:val="32"/>
          <w:highlight w:val="none"/>
          <w:u w:val="none"/>
          <w:shd w:val="clear" w:color="auto" w:fill="FFFFFF"/>
          <w:lang w:val="en-US" w:eastAsia="zh-CN" w:bidi="ar"/>
        </w:rPr>
      </w:pPr>
      <w:r>
        <w:rPr>
          <w:rFonts w:hint="eastAsia" w:ascii="黑体" w:hAnsi="黑体" w:eastAsia="黑体" w:cs="黑体"/>
          <w:color w:val="auto"/>
          <w:kern w:val="0"/>
          <w:sz w:val="32"/>
          <w:szCs w:val="32"/>
          <w:highlight w:val="none"/>
          <w:u w:val="none"/>
          <w:shd w:val="clear" w:color="auto" w:fill="FFFFFF"/>
          <w:lang w:bidi="ar"/>
        </w:rPr>
        <w:t>第三方验收测评服务</w:t>
      </w:r>
    </w:p>
    <w:p w14:paraId="26C988C9">
      <w:pPr>
        <w:widowControl/>
        <w:spacing w:line="560" w:lineRule="exact"/>
        <w:ind w:firstLine="640" w:firstLineChars="200"/>
        <w:jc w:val="center"/>
        <w:rPr>
          <w:rFonts w:hint="eastAsia" w:ascii="黑体" w:hAnsi="黑体" w:eastAsia="黑体" w:cs="黑体"/>
          <w:color w:val="auto"/>
          <w:kern w:val="0"/>
          <w:sz w:val="32"/>
          <w:szCs w:val="32"/>
          <w:highlight w:val="none"/>
          <w:u w:val="none"/>
          <w:shd w:val="clear" w:color="auto" w:fill="FFFFFF"/>
          <w:lang w:bidi="ar"/>
        </w:rPr>
      </w:pPr>
      <w:r>
        <w:rPr>
          <w:rFonts w:hint="eastAsia" w:ascii="黑体" w:hAnsi="黑体" w:eastAsia="黑体" w:cs="黑体"/>
          <w:color w:val="auto"/>
          <w:kern w:val="0"/>
          <w:sz w:val="32"/>
          <w:szCs w:val="32"/>
          <w:highlight w:val="none"/>
          <w:shd w:val="clear" w:color="auto" w:fill="FFFFFF"/>
          <w:lang w:bidi="ar"/>
        </w:rPr>
        <w:t>采购人：</w:t>
      </w:r>
      <w:r>
        <w:rPr>
          <w:rFonts w:hint="eastAsia" w:ascii="黑体" w:hAnsi="黑体" w:eastAsia="黑体" w:cs="黑体"/>
          <w:color w:val="auto"/>
          <w:kern w:val="0"/>
          <w:sz w:val="32"/>
          <w:szCs w:val="32"/>
          <w:highlight w:val="none"/>
          <w:u w:val="none"/>
          <w:shd w:val="clear" w:color="auto" w:fill="FFFFFF"/>
          <w:lang w:bidi="ar"/>
        </w:rPr>
        <w:t>中共深圳市委金融委员会办公室</w:t>
      </w:r>
    </w:p>
    <w:p w14:paraId="5ED15367">
      <w:pPr>
        <w:spacing w:line="560" w:lineRule="exact"/>
        <w:jc w:val="center"/>
        <w:rPr>
          <w:rFonts w:ascii="方正小标宋简体" w:hAnsi="方正小标宋简体" w:eastAsia="方正小标宋简体" w:cs="方正小标宋简体"/>
          <w:color w:val="auto"/>
          <w:sz w:val="44"/>
          <w:szCs w:val="44"/>
          <w:highlight w:val="none"/>
        </w:rPr>
      </w:pPr>
    </w:p>
    <w:p w14:paraId="3DA0D331">
      <w:pPr>
        <w:widowControl/>
        <w:spacing w:line="560" w:lineRule="exact"/>
        <w:ind w:firstLine="640" w:firstLineChars="200"/>
        <w:jc w:val="left"/>
        <w:rPr>
          <w:rFonts w:ascii="黑体" w:hAnsi="黑体" w:eastAsia="黑体" w:cs="黑体"/>
          <w:color w:val="auto"/>
          <w:kern w:val="0"/>
          <w:sz w:val="32"/>
          <w:szCs w:val="32"/>
          <w:highlight w:val="none"/>
          <w:lang w:bidi="ar"/>
        </w:rPr>
      </w:pPr>
      <w:r>
        <w:rPr>
          <w:rStyle w:val="18"/>
          <w:rFonts w:hint="eastAsia" w:ascii="黑体" w:hAnsi="黑体" w:eastAsia="黑体" w:cs="黑体"/>
          <w:b w:val="0"/>
          <w:color w:val="auto"/>
          <w:kern w:val="0"/>
          <w:sz w:val="32"/>
          <w:szCs w:val="32"/>
          <w:highlight w:val="none"/>
          <w:shd w:val="clear" w:color="auto" w:fill="FFFFFF"/>
          <w:lang w:bidi="ar"/>
        </w:rPr>
        <w:t>一、采购项目名称</w:t>
      </w:r>
    </w:p>
    <w:p w14:paraId="43DF1969">
      <w:pPr>
        <w:widowControl/>
        <w:spacing w:line="560" w:lineRule="exact"/>
        <w:ind w:firstLine="640" w:firstLineChars="200"/>
        <w:jc w:val="left"/>
        <w:rPr>
          <w:rFonts w:ascii="楷体_GB2312" w:hAnsi="楷体_GB2312" w:eastAsia="楷体_GB2312" w:cs="楷体_GB2312"/>
          <w:color w:val="auto"/>
          <w:kern w:val="0"/>
          <w:sz w:val="32"/>
          <w:szCs w:val="32"/>
          <w:highlight w:val="none"/>
          <w:shd w:val="clear" w:color="auto" w:fill="FFFFFF"/>
          <w:lang w:bidi="ar"/>
        </w:rPr>
      </w:pPr>
      <w:r>
        <w:rPr>
          <w:rFonts w:hint="eastAsia" w:ascii="楷体_GB2312" w:hAnsi="楷体_GB2312" w:eastAsia="楷体_GB2312" w:cs="楷体_GB2312"/>
          <w:color w:val="auto"/>
          <w:kern w:val="0"/>
          <w:sz w:val="32"/>
          <w:szCs w:val="32"/>
          <w:highlight w:val="none"/>
          <w:shd w:val="clear" w:color="auto" w:fill="FFFFFF"/>
          <w:lang w:bidi="ar"/>
        </w:rPr>
        <w:t>（一）项目名称</w:t>
      </w:r>
    </w:p>
    <w:p w14:paraId="261213E7">
      <w:pPr>
        <w:widowControl/>
        <w:spacing w:line="560" w:lineRule="exact"/>
        <w:ind w:firstLine="640" w:firstLineChars="200"/>
        <w:jc w:val="left"/>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eastAsia="zh-CN" w:bidi="ar"/>
        </w:rPr>
        <w:t>市智慧金融综合服务平台（一期）第三方验收测评服务</w:t>
      </w:r>
    </w:p>
    <w:p w14:paraId="19EF20A9">
      <w:pPr>
        <w:widowControl/>
        <w:spacing w:line="560" w:lineRule="exact"/>
        <w:ind w:firstLine="640" w:firstLineChars="200"/>
        <w:jc w:val="left"/>
        <w:rPr>
          <w:rFonts w:ascii="楷体_GB2312" w:hAnsi="楷体_GB2312" w:eastAsia="楷体_GB2312" w:cs="楷体_GB2312"/>
          <w:color w:val="auto"/>
          <w:kern w:val="0"/>
          <w:sz w:val="32"/>
          <w:szCs w:val="32"/>
          <w:highlight w:val="none"/>
          <w:shd w:val="clear" w:color="auto" w:fill="FFFFFF"/>
          <w:lang w:bidi="ar"/>
        </w:rPr>
      </w:pPr>
      <w:r>
        <w:rPr>
          <w:rFonts w:hint="eastAsia" w:ascii="楷体_GB2312" w:hAnsi="楷体_GB2312" w:eastAsia="楷体_GB2312" w:cs="楷体_GB2312"/>
          <w:color w:val="auto"/>
          <w:kern w:val="0"/>
          <w:sz w:val="32"/>
          <w:szCs w:val="32"/>
          <w:highlight w:val="none"/>
          <w:shd w:val="clear" w:color="auto" w:fill="FFFFFF"/>
          <w:lang w:bidi="ar"/>
        </w:rPr>
        <w:t>（二）项目预算金额</w:t>
      </w:r>
    </w:p>
    <w:p w14:paraId="5508D8BC">
      <w:pPr>
        <w:widowControl/>
        <w:spacing w:line="560" w:lineRule="exact"/>
        <w:ind w:firstLine="640" w:firstLineChars="200"/>
        <w:jc w:val="left"/>
        <w:rPr>
          <w:rFonts w:ascii="楷体_GB2312" w:hAnsi="楷体_GB2312" w:eastAsia="楷体_GB2312" w:cs="楷体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shd w:val="clear" w:color="auto" w:fill="FFFFFF"/>
          <w:lang w:bidi="ar"/>
        </w:rPr>
        <w:t>本次采购项目为</w:t>
      </w:r>
      <w:r>
        <w:rPr>
          <w:rFonts w:ascii="仿宋_GB2312" w:hAnsi="仿宋_GB2312" w:eastAsia="仿宋_GB2312" w:cs="仿宋_GB2312"/>
          <w:color w:val="auto"/>
          <w:kern w:val="0"/>
          <w:sz w:val="32"/>
          <w:szCs w:val="32"/>
          <w:highlight w:val="none"/>
          <w:shd w:val="clear" w:color="auto" w:fill="FFFFFF"/>
          <w:lang w:bidi="ar"/>
        </w:rPr>
        <w:t>40.89</w:t>
      </w:r>
      <w:r>
        <w:rPr>
          <w:rFonts w:hint="eastAsia" w:ascii="仿宋_GB2312" w:hAnsi="仿宋_GB2312" w:eastAsia="仿宋_GB2312" w:cs="仿宋_GB2312"/>
          <w:color w:val="auto"/>
          <w:kern w:val="0"/>
          <w:sz w:val="32"/>
          <w:szCs w:val="32"/>
          <w:highlight w:val="none"/>
          <w:shd w:val="clear" w:color="auto" w:fill="FFFFFF"/>
          <w:lang w:bidi="ar"/>
        </w:rPr>
        <w:t>万元，总报价超过</w:t>
      </w:r>
      <w:r>
        <w:rPr>
          <w:rFonts w:ascii="仿宋_GB2312" w:hAnsi="仿宋_GB2312" w:eastAsia="仿宋_GB2312" w:cs="仿宋_GB2312"/>
          <w:color w:val="auto"/>
          <w:kern w:val="0"/>
          <w:sz w:val="32"/>
          <w:szCs w:val="32"/>
          <w:highlight w:val="none"/>
          <w:shd w:val="clear" w:color="auto" w:fill="FFFFFF"/>
          <w:lang w:bidi="ar"/>
        </w:rPr>
        <w:t>40.89</w:t>
      </w:r>
      <w:r>
        <w:rPr>
          <w:rFonts w:hint="eastAsia" w:ascii="仿宋_GB2312" w:hAnsi="仿宋_GB2312" w:eastAsia="仿宋_GB2312" w:cs="仿宋_GB2312"/>
          <w:color w:val="auto"/>
          <w:kern w:val="0"/>
          <w:sz w:val="32"/>
          <w:szCs w:val="32"/>
          <w:highlight w:val="none"/>
          <w:shd w:val="clear" w:color="auto" w:fill="FFFFFF"/>
          <w:lang w:bidi="ar"/>
        </w:rPr>
        <w:t>万元(人民币)以上为无效投标</w:t>
      </w:r>
    </w:p>
    <w:p w14:paraId="17D7D891">
      <w:pPr>
        <w:widowControl/>
        <w:spacing w:line="560" w:lineRule="exact"/>
        <w:ind w:firstLine="640" w:firstLineChars="200"/>
        <w:jc w:val="left"/>
        <w:rPr>
          <w:rFonts w:ascii="黑体" w:hAnsi="黑体" w:eastAsia="黑体" w:cs="黑体"/>
          <w:color w:val="auto"/>
          <w:kern w:val="0"/>
          <w:sz w:val="32"/>
          <w:szCs w:val="32"/>
          <w:highlight w:val="none"/>
          <w:lang w:bidi="ar"/>
        </w:rPr>
      </w:pPr>
      <w:r>
        <w:rPr>
          <w:rStyle w:val="18"/>
          <w:rFonts w:hint="eastAsia" w:ascii="黑体" w:hAnsi="黑体" w:eastAsia="黑体" w:cs="黑体"/>
          <w:b w:val="0"/>
          <w:color w:val="auto"/>
          <w:kern w:val="0"/>
          <w:sz w:val="32"/>
          <w:szCs w:val="32"/>
          <w:highlight w:val="none"/>
          <w:shd w:val="clear" w:color="auto" w:fill="FFFFFF"/>
          <w:lang w:bidi="ar"/>
        </w:rPr>
        <w:t>二、服务内容及有关要求</w:t>
      </w:r>
    </w:p>
    <w:p w14:paraId="70763527">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根据国家相关政策法规、行业标准，以及《深圳市政务信息化项目检测与验收管理办法》（深政数〔2022〕136号）、《政务信息化项目质量检测规范》（DB4403/T 600.2—2025）要求，对系统开展第三方测评服务。具体服务内容如下：</w:t>
      </w:r>
    </w:p>
    <w:p w14:paraId="153D7FD6">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（一）验收检测</w:t>
      </w:r>
    </w:p>
    <w:p w14:paraId="61E31CF9">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验收检测服务内容包括用户文档集、功能性、性能效率、信息安全性等。检测要求主要依据项目设计文件、招投标文件、合同及相关检测标准规范，对发现的问题进行定位并给出整改建议，整改完成后进行复测直至问题完全修复，出具验收检测报告。</w:t>
      </w:r>
    </w:p>
    <w:p w14:paraId="41F68E04">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（二）源代码安全审查</w:t>
      </w:r>
    </w:p>
    <w:p w14:paraId="0292B153">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根据被测系统的特点，使用的源代码扫描工具对系统的源代码进行安全审计，出具源代码安全审查报告，针对报告的问题和采购人沟通协助修复，直到所有中高危问题完全修复后出具最终的源代码安全审查报告。</w:t>
      </w:r>
    </w:p>
    <w:p w14:paraId="0F719F3B">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（三）人员要求</w:t>
      </w:r>
    </w:p>
    <w:p w14:paraId="7D9B8A68">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1.投标人须承诺在拟投入人员中指定项目负责人1人，负责项目管理及协调工作。</w:t>
      </w:r>
    </w:p>
    <w:p w14:paraId="74463A0D">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 xml:space="preserve">2.投标人须承诺在本项目投入至少5名项目团队成员（不包含项目负责人）作为测评团队人员为采购人提供服务。 </w:t>
      </w:r>
    </w:p>
    <w:p w14:paraId="3CED089E">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（四）其他要求</w:t>
      </w:r>
    </w:p>
    <w:p w14:paraId="3CD54EC4">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1.除采购人另有要求外，测评服务自双方合同签订之日起开始，至完成所有服务内容并经采购人验收后结束，并出具符合市信息化主管部门要求的测评报告。</w:t>
      </w:r>
    </w:p>
    <w:p w14:paraId="66BA70C2">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2.服务本项目的技术团队应选派与待检测的项目领域相关的专业技术人员，参加现场检测准备和检测工作。检测人员应熟悉深圳市政务信息化项目建设、管理方面的政策法规，熟悉待检测项目的招投标文件、合同、实施资料等相关材料,并严格执行该项目相关法律法规以及技术文件。</w:t>
      </w:r>
    </w:p>
    <w:p w14:paraId="535DF2ED">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3.中标人应妥善保管采购方提供的所有资料，对资料承担保密责任。在服务期间内获得所有资料只能用于本项目范围，不得用于本项目之外的用途，不得泄漏资料信息，合同到期后应销毁与本项目有关的数据。</w:t>
      </w:r>
    </w:p>
    <w:p w14:paraId="26D5484A">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4.在服务期内，投标人应配置该项目所需的足够数量的检测工具。采购人不向投标人提供检测工具。</w:t>
      </w:r>
    </w:p>
    <w:p w14:paraId="71A5288E">
      <w:p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5.在服务期内，中标人为完成本项目所需的包括但不限于</w:t>
      </w:r>
      <w:r>
        <w:rPr>
          <w:rFonts w:hint="eastAsia" w:ascii="仿宋_GB2312" w:hAnsi="仿宋_GB2312" w:eastAsia="仿宋_GB2312" w:cs="仿宋_GB2312"/>
          <w:color w:val="auto"/>
          <w:sz w:val="32"/>
          <w:szCs w:val="32"/>
          <w:highlight w:val="none"/>
          <w:lang w:val="en-US" w:eastAsia="zh-CN" w:bidi="ar"/>
        </w:rPr>
        <w:t>人工检测，</w:t>
      </w:r>
      <w:r>
        <w:rPr>
          <w:rFonts w:hint="eastAsia" w:ascii="仿宋_GB2312" w:hAnsi="仿宋_GB2312" w:eastAsia="仿宋_GB2312" w:cs="仿宋_GB2312"/>
          <w:color w:val="auto"/>
          <w:sz w:val="32"/>
          <w:szCs w:val="32"/>
          <w:highlight w:val="none"/>
          <w:lang w:bidi="ar"/>
        </w:rPr>
        <w:t>车辆运输，交通费用，劳动保险，工伤保险，意外保险等费用均应自行承担，采购人不再支付任何额外费用，也不承担因此导致的任何责任。</w:t>
      </w:r>
    </w:p>
    <w:p w14:paraId="6C3B5233">
      <w:pPr>
        <w:spacing w:line="560" w:lineRule="exact"/>
        <w:ind w:firstLine="320" w:firstLineChars="100"/>
        <w:rPr>
          <w:rFonts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三、供应商资格要求</w:t>
      </w:r>
    </w:p>
    <w:p w14:paraId="36BF5A35">
      <w:pPr>
        <w:ind w:firstLine="640" w:firstLineChars="200"/>
        <w:rPr>
          <w:color w:val="auto"/>
          <w:highlight w:val="none"/>
        </w:rPr>
      </w:pPr>
      <w:r>
        <w:rPr>
          <w:rFonts w:hint="eastAsia" w:ascii="仿宋_GB2312" w:hAnsi="仿宋_GB2312" w:eastAsia="仿宋_GB2312" w:cs="仿宋_GB2312"/>
          <w:color w:val="auto"/>
          <w:sz w:val="32"/>
          <w:szCs w:val="32"/>
          <w:highlight w:val="none"/>
          <w:lang w:bidi="ar"/>
        </w:rPr>
        <w:t>（一）符合《中华人民共和国政府采购法》第二十二条规定的条件；</w:t>
      </w:r>
    </w:p>
    <w:p w14:paraId="1DCEE3C4">
      <w:pPr>
        <w:adjustRightInd w:val="0"/>
        <w:snapToGrid w:val="0"/>
        <w:spacing w:line="5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val="en-US" w:eastAsia="zh-CN"/>
        </w:rPr>
        <w:t>投标人须具备以下两项资质之一，且其认可范围须覆盖本项目所检内容领域：</w:t>
      </w:r>
    </w:p>
    <w:p w14:paraId="11D6179E">
      <w:pPr>
        <w:adjustRightInd w:val="0"/>
        <w:snapToGrid w:val="0"/>
        <w:spacing w:line="5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中国合格评定国家认可委员会颁发的覆盖所检内容领域的检验机构或实验室认可证书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CNAS</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p>
    <w:p w14:paraId="38477CB3">
      <w:pPr>
        <w:adjustRightInd w:val="0"/>
        <w:snapToGrid w:val="0"/>
        <w:spacing w:line="5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中国国家认证认可监督管理委员会的检验检测机构资质认定证书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国家级CMA</w:t>
      </w:r>
      <w:r>
        <w:rPr>
          <w:rFonts w:hint="eastAsia" w:ascii="仿宋_GB2312" w:hAnsi="仿宋_GB2312" w:eastAsia="仿宋_GB2312" w:cs="仿宋_GB2312"/>
          <w:color w:val="auto"/>
          <w:sz w:val="32"/>
          <w:szCs w:val="32"/>
          <w:highlight w:val="none"/>
          <w:lang w:eastAsia="zh-CN"/>
        </w:rPr>
        <w:t>）。</w:t>
      </w:r>
    </w:p>
    <w:p w14:paraId="08E74A41">
      <w:pPr>
        <w:adjustRightInd w:val="0"/>
        <w:snapToGrid w:val="0"/>
        <w:spacing w:line="5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深圳参加政府采购活动前3年内在经营活动中没有重大违法记录，或当前被禁止参加政府采购活动，所称重大违法记录，是指供应商因违法经营受到刑事处罚或者责令停产停业、吊销许可证或者执照、较大数额罚款等行政处罚；</w:t>
      </w:r>
    </w:p>
    <w:p w14:paraId="3009C266">
      <w:pPr>
        <w:adjustRightInd w:val="0"/>
        <w:snapToGrid w:val="0"/>
        <w:spacing w:line="5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（四）供应商须具备履行合同所必须的专业服务能力；</w:t>
      </w:r>
    </w:p>
    <w:p w14:paraId="021F7E99">
      <w:pPr>
        <w:adjustRightInd w:val="0"/>
        <w:snapToGrid w:val="0"/>
        <w:spacing w:line="5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（五）本项目不接受联合体投标，不允许分包、转包。</w:t>
      </w:r>
    </w:p>
    <w:p w14:paraId="69A8807F">
      <w:pPr>
        <w:numPr>
          <w:ilvl w:val="255"/>
          <w:numId w:val="0"/>
        </w:numPr>
        <w:spacing w:line="560" w:lineRule="exact"/>
        <w:ind w:firstLine="640" w:firstLineChars="200"/>
        <w:rPr>
          <w:rFonts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四、评标方法</w:t>
      </w:r>
    </w:p>
    <w:p w14:paraId="624C29CD">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本项目采用综合评分法，在投标文件满足采购文件全部实质性要求，且按照评审因素的量化指标评审得分最高的投标人为中标候选人的评标方法。</w:t>
      </w:r>
    </w:p>
    <w:tbl>
      <w:tblPr>
        <w:tblStyle w:val="15"/>
        <w:tblpPr w:leftFromText="180" w:rightFromText="180" w:vertAnchor="text" w:horzAnchor="page" w:tblpX="1794" w:tblpY="556"/>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2527"/>
        <w:gridCol w:w="722"/>
        <w:gridCol w:w="4193"/>
      </w:tblGrid>
      <w:tr w14:paraId="64EF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5ADFC82D">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3676" w:type="dxa"/>
            <w:gridSpan w:val="3"/>
            <w:vAlign w:val="center"/>
          </w:tcPr>
          <w:p w14:paraId="0C37F41C">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评分项</w:t>
            </w:r>
          </w:p>
        </w:tc>
        <w:tc>
          <w:tcPr>
            <w:tcW w:w="4193" w:type="dxa"/>
            <w:vAlign w:val="center"/>
          </w:tcPr>
          <w:p w14:paraId="689F5E07">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权重</w:t>
            </w:r>
          </w:p>
        </w:tc>
      </w:tr>
      <w:tr w14:paraId="268B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5545453B">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p>
        </w:tc>
        <w:tc>
          <w:tcPr>
            <w:tcW w:w="3676" w:type="dxa"/>
            <w:gridSpan w:val="3"/>
            <w:vAlign w:val="center"/>
          </w:tcPr>
          <w:p w14:paraId="3264D2B2">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价格</w:t>
            </w:r>
          </w:p>
        </w:tc>
        <w:tc>
          <w:tcPr>
            <w:tcW w:w="4193" w:type="dxa"/>
            <w:vAlign w:val="center"/>
          </w:tcPr>
          <w:p w14:paraId="0942D24B">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w:t>
            </w:r>
          </w:p>
        </w:tc>
      </w:tr>
      <w:tr w14:paraId="2DB7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69142C92">
            <w:pPr>
              <w:spacing w:line="440" w:lineRule="exact"/>
              <w:jc w:val="center"/>
              <w:rPr>
                <w:rFonts w:asciiTheme="minorEastAsia" w:hAnsiTheme="minorEastAsia" w:eastAsiaTheme="minorEastAsia" w:cstheme="minorEastAsia"/>
                <w:color w:val="auto"/>
                <w:szCs w:val="21"/>
                <w:highlight w:val="none"/>
              </w:rPr>
            </w:pPr>
          </w:p>
        </w:tc>
        <w:tc>
          <w:tcPr>
            <w:tcW w:w="7869" w:type="dxa"/>
            <w:gridSpan w:val="4"/>
            <w:vAlign w:val="center"/>
          </w:tcPr>
          <w:p w14:paraId="3B97E54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投标报价价格分=（评标基准价/投标报价）×10</w:t>
            </w:r>
          </w:p>
          <w:p w14:paraId="671999B5">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采用低价优先法计算，即满足采购文件要求且投标价格最低的投标报价为评标基准价，其价格分为满分。</w:t>
            </w:r>
          </w:p>
        </w:tc>
      </w:tr>
      <w:tr w14:paraId="7D8E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24337DFB">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w:t>
            </w:r>
          </w:p>
        </w:tc>
        <w:tc>
          <w:tcPr>
            <w:tcW w:w="3676" w:type="dxa"/>
            <w:gridSpan w:val="3"/>
            <w:vAlign w:val="center"/>
          </w:tcPr>
          <w:p w14:paraId="70C8EC70">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技术部分</w:t>
            </w:r>
          </w:p>
        </w:tc>
        <w:tc>
          <w:tcPr>
            <w:tcW w:w="4193" w:type="dxa"/>
            <w:vAlign w:val="center"/>
          </w:tcPr>
          <w:p w14:paraId="4CC5038F">
            <w:pPr>
              <w:spacing w:line="440" w:lineRule="exact"/>
              <w:jc w:val="center"/>
              <w:rPr>
                <w:rFonts w:hint="eastAsia" w:asciiTheme="minorEastAsia" w:hAnsiTheme="minorEastAsia" w:eastAsiaTheme="minorEastAsia" w:cstheme="minorEastAsia"/>
                <w:b/>
                <w:color w:val="auto"/>
                <w:szCs w:val="21"/>
                <w:highlight w:val="none"/>
                <w:lang w:eastAsia="zh-CN"/>
              </w:rPr>
            </w:pPr>
            <w:r>
              <w:rPr>
                <w:rFonts w:asciiTheme="minorEastAsia" w:hAnsiTheme="minorEastAsia" w:eastAsiaTheme="minorEastAsia" w:cstheme="minorEastAsia"/>
                <w:b/>
                <w:color w:val="auto"/>
                <w:szCs w:val="21"/>
                <w:highlight w:val="none"/>
              </w:rPr>
              <w:t>6</w:t>
            </w:r>
            <w:r>
              <w:rPr>
                <w:rFonts w:hint="eastAsia" w:asciiTheme="minorEastAsia" w:hAnsiTheme="minorEastAsia" w:eastAsiaTheme="minorEastAsia" w:cstheme="minorEastAsia"/>
                <w:b/>
                <w:color w:val="auto"/>
                <w:szCs w:val="21"/>
                <w:highlight w:val="none"/>
                <w:lang w:val="en-US" w:eastAsia="zh-CN"/>
              </w:rPr>
              <w:t>5</w:t>
            </w:r>
          </w:p>
        </w:tc>
      </w:tr>
      <w:tr w14:paraId="0C9B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vAlign w:val="center"/>
          </w:tcPr>
          <w:p w14:paraId="670FD836">
            <w:pPr>
              <w:spacing w:line="440" w:lineRule="exact"/>
              <w:jc w:val="center"/>
              <w:rPr>
                <w:rFonts w:asciiTheme="minorEastAsia" w:hAnsiTheme="minorEastAsia" w:eastAsiaTheme="minorEastAsia" w:cstheme="minorEastAsia"/>
                <w:color w:val="auto"/>
                <w:szCs w:val="21"/>
                <w:highlight w:val="none"/>
              </w:rPr>
            </w:pPr>
          </w:p>
        </w:tc>
        <w:tc>
          <w:tcPr>
            <w:tcW w:w="427" w:type="dxa"/>
            <w:vAlign w:val="center"/>
          </w:tcPr>
          <w:p w14:paraId="1996441C">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527" w:type="dxa"/>
            <w:vAlign w:val="center"/>
          </w:tcPr>
          <w:p w14:paraId="70CD1F66">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评分因素</w:t>
            </w:r>
          </w:p>
        </w:tc>
        <w:tc>
          <w:tcPr>
            <w:tcW w:w="722" w:type="dxa"/>
            <w:vAlign w:val="center"/>
          </w:tcPr>
          <w:p w14:paraId="32696704">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权重</w:t>
            </w:r>
          </w:p>
        </w:tc>
        <w:tc>
          <w:tcPr>
            <w:tcW w:w="4193" w:type="dxa"/>
            <w:vAlign w:val="center"/>
          </w:tcPr>
          <w:p w14:paraId="67D71836">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评分准则</w:t>
            </w:r>
          </w:p>
        </w:tc>
      </w:tr>
      <w:tr w14:paraId="794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67CE4E45">
            <w:pPr>
              <w:spacing w:line="440" w:lineRule="exact"/>
              <w:jc w:val="center"/>
              <w:outlineLvl w:val="0"/>
              <w:rPr>
                <w:rFonts w:asciiTheme="minorEastAsia" w:hAnsiTheme="minorEastAsia" w:eastAsiaTheme="minorEastAsia" w:cstheme="minorEastAsia"/>
                <w:color w:val="auto"/>
                <w:szCs w:val="21"/>
                <w:highlight w:val="none"/>
              </w:rPr>
            </w:pPr>
          </w:p>
        </w:tc>
        <w:tc>
          <w:tcPr>
            <w:tcW w:w="427" w:type="dxa"/>
            <w:vAlign w:val="center"/>
          </w:tcPr>
          <w:p w14:paraId="569EF679">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527" w:type="dxa"/>
            <w:vAlign w:val="center"/>
          </w:tcPr>
          <w:p w14:paraId="1A34F83D">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lang w:val="en-US" w:eastAsia="zh-CN"/>
              </w:rPr>
              <w:t>项目服务</w:t>
            </w:r>
            <w:r>
              <w:rPr>
                <w:rFonts w:hint="eastAsia" w:ascii="宋体" w:hAnsi="宋体"/>
                <w:color w:val="auto"/>
                <w:highlight w:val="none"/>
              </w:rPr>
              <w:t>方案</w:t>
            </w:r>
          </w:p>
        </w:tc>
        <w:tc>
          <w:tcPr>
            <w:tcW w:w="722" w:type="dxa"/>
            <w:vAlign w:val="center"/>
          </w:tcPr>
          <w:p w14:paraId="5A478CD0">
            <w:pPr>
              <w:spacing w:line="44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2</w:t>
            </w:r>
          </w:p>
        </w:tc>
        <w:tc>
          <w:tcPr>
            <w:tcW w:w="4193" w:type="dxa"/>
            <w:vAlign w:val="center"/>
          </w:tcPr>
          <w:p w14:paraId="1EB07A0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5541BC5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供应商针对本项目的需求制定项目服务方案，内容包括但不限于以下内容：</w:t>
            </w:r>
          </w:p>
          <w:p w14:paraId="27FAD82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1.项目实施总体思路，工作措施；</w:t>
            </w:r>
          </w:p>
          <w:p w14:paraId="2469B43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2.实施本项目的主要人员配置工作方法；</w:t>
            </w:r>
          </w:p>
          <w:p w14:paraId="7F33905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3.质量保证措施工作手段；</w:t>
            </w:r>
          </w:p>
          <w:p w14:paraId="603334A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4.项目内容技术保障实施方案工作流程。</w:t>
            </w:r>
          </w:p>
          <w:p w14:paraId="04B11BF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54B0E05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1.提供上述四项内容的得</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分，提供上述三项内容的得</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分，提供上述二项内容的得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分，其他情况或未提供者不得分。</w:t>
            </w:r>
          </w:p>
          <w:p w14:paraId="3C4E804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2.在此基础上，评审专家根据供应商的具体响应内容按照量化的评审因素指标进一步评审：</w:t>
            </w:r>
          </w:p>
          <w:p w14:paraId="5BE2CBD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（1）评审为优（服务方案内容完整、科学合理、清晰准确、针对性强、可操作性强）的，加</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p>
          <w:p w14:paraId="4EE98F1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（2）评审为良（服务方案内容较为完整、较为合理、较为清晰、有一定针对性、有一定操作性）的，加</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分；</w:t>
            </w:r>
          </w:p>
          <w:p w14:paraId="29B67C0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（3）评审为中（服务方案内容有部分缺少、基本合理、基本清晰、针对性一般，可操作性一般）的，加</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w:t>
            </w:r>
          </w:p>
          <w:p w14:paraId="6BCCAF7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（4）未提供或为差（服务方案存在内容严重缺失、不合理、不清晰、无针对性、无可操作性）的，不加分。</w:t>
            </w:r>
          </w:p>
        </w:tc>
      </w:tr>
      <w:tr w14:paraId="1A2C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4FE045EF">
            <w:pPr>
              <w:spacing w:line="440" w:lineRule="exact"/>
              <w:jc w:val="center"/>
              <w:outlineLvl w:val="2"/>
              <w:rPr>
                <w:rFonts w:asciiTheme="minorEastAsia" w:hAnsiTheme="minorEastAsia" w:eastAsiaTheme="minorEastAsia" w:cstheme="minorEastAsia"/>
                <w:color w:val="auto"/>
                <w:szCs w:val="21"/>
                <w:highlight w:val="none"/>
              </w:rPr>
            </w:pPr>
          </w:p>
        </w:tc>
        <w:tc>
          <w:tcPr>
            <w:tcW w:w="427" w:type="dxa"/>
            <w:vAlign w:val="center"/>
          </w:tcPr>
          <w:p w14:paraId="50AEB226">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527" w:type="dxa"/>
            <w:vAlign w:val="center"/>
          </w:tcPr>
          <w:p w14:paraId="23486501">
            <w:pPr>
              <w:rPr>
                <w:rFonts w:ascii="Times New Roman" w:hAnsi="Times New Roman"/>
                <w:color w:val="auto"/>
                <w:szCs w:val="21"/>
                <w:highlight w:val="none"/>
              </w:rPr>
            </w:pPr>
            <w:r>
              <w:rPr>
                <w:rFonts w:hint="eastAsia" w:ascii="宋体" w:hAnsi="宋体"/>
                <w:color w:val="auto"/>
                <w:highlight w:val="none"/>
              </w:rPr>
              <w:t>项目重点难点分析、应对措施及相关的合理化建议</w:t>
            </w:r>
          </w:p>
        </w:tc>
        <w:tc>
          <w:tcPr>
            <w:tcW w:w="722" w:type="dxa"/>
            <w:vAlign w:val="center"/>
          </w:tcPr>
          <w:p w14:paraId="35E5F0D1">
            <w:pPr>
              <w:spacing w:line="44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2</w:t>
            </w:r>
          </w:p>
        </w:tc>
        <w:tc>
          <w:tcPr>
            <w:tcW w:w="4193" w:type="dxa"/>
            <w:vAlign w:val="center"/>
          </w:tcPr>
          <w:p w14:paraId="1715678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0FC7EDB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供应商针对本项目的需求进行项目的重点难点分析、应对措施及相关的合理化建议，内容包括但不限于以下内容：</w:t>
            </w:r>
          </w:p>
          <w:p w14:paraId="5028F99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1.工作重点难点分析；</w:t>
            </w:r>
          </w:p>
          <w:p w14:paraId="380A211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2.应对措施；</w:t>
            </w:r>
          </w:p>
          <w:p w14:paraId="140F6C6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3.相关的合理化建议。</w:t>
            </w:r>
          </w:p>
          <w:p w14:paraId="7A1597A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6801884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1.提供上述三项内容的得</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分，提供上述二项内容的得</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分，提供上述一项内容的得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分，其他情况或未提供者不得分。</w:t>
            </w:r>
          </w:p>
          <w:p w14:paraId="1784E12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2.在此基础上，评审专家根据各供应商的具体响应内容按照量化的评审因素指标进一步评审：</w:t>
            </w:r>
          </w:p>
          <w:p w14:paraId="08DD1BA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（1）评审为优（项目重点难点分析透彻、应对措施及相关的合理化建议完善，针对性强、可操作性强）的，加2分；</w:t>
            </w:r>
          </w:p>
          <w:p w14:paraId="7AC0E0F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（2）评审为良（项目重点难点分析较透彻、应对措施及相关的合理化建议较完善，较清晰、针对性较强、可操作性较强）加1.5分；</w:t>
            </w:r>
          </w:p>
          <w:p w14:paraId="099F129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（3）评审为中（项目重点难点分析一般、应对措施及相关的合理化建议一般，针对性一般，可操作性一般）的，加1分；</w:t>
            </w:r>
          </w:p>
          <w:p w14:paraId="44758F9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（4）未提供或评审为差（项目重点难点分析不透彻、应对措施及相关的合理化建议不合理、无针对性、无操作性的，评审为差）的，不加分。</w:t>
            </w:r>
          </w:p>
        </w:tc>
      </w:tr>
      <w:tr w14:paraId="2FA3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E0F131C">
            <w:pPr>
              <w:spacing w:line="440" w:lineRule="exact"/>
              <w:jc w:val="center"/>
              <w:outlineLvl w:val="2"/>
              <w:rPr>
                <w:rFonts w:asciiTheme="minorEastAsia" w:hAnsiTheme="minorEastAsia" w:eastAsiaTheme="minorEastAsia" w:cstheme="minorEastAsia"/>
                <w:color w:val="auto"/>
                <w:szCs w:val="21"/>
                <w:highlight w:val="none"/>
              </w:rPr>
            </w:pPr>
          </w:p>
        </w:tc>
        <w:tc>
          <w:tcPr>
            <w:tcW w:w="427" w:type="dxa"/>
            <w:vAlign w:val="center"/>
          </w:tcPr>
          <w:p w14:paraId="5701320A">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2527" w:type="dxa"/>
            <w:vAlign w:val="center"/>
          </w:tcPr>
          <w:p w14:paraId="03F3C81F">
            <w:pPr>
              <w:rPr>
                <w:rFonts w:ascii="Times New Roman" w:hAnsi="Times New Roman"/>
                <w:color w:val="auto"/>
                <w:szCs w:val="21"/>
                <w:highlight w:val="none"/>
              </w:rPr>
            </w:pPr>
            <w:r>
              <w:rPr>
                <w:rFonts w:hint="eastAsia" w:ascii="宋体" w:hAnsi="宋体"/>
                <w:color w:val="auto"/>
                <w:highlight w:val="none"/>
              </w:rPr>
              <w:t>质量（完成时间、安全、环保）保障措施及方案</w:t>
            </w:r>
          </w:p>
        </w:tc>
        <w:tc>
          <w:tcPr>
            <w:tcW w:w="722" w:type="dxa"/>
            <w:vAlign w:val="center"/>
          </w:tcPr>
          <w:p w14:paraId="6CE7E2D9">
            <w:pPr>
              <w:spacing w:line="44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2</w:t>
            </w:r>
          </w:p>
        </w:tc>
        <w:tc>
          <w:tcPr>
            <w:tcW w:w="4193" w:type="dxa"/>
            <w:vAlign w:val="center"/>
          </w:tcPr>
          <w:p w14:paraId="0371C2F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7107B0C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供应商提供的质量保障措施方案，包括但不限于以下内容：</w:t>
            </w:r>
          </w:p>
          <w:p w14:paraId="78D11F9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1.时间保障措施：有对人员、时间、内容三方面保障描述；</w:t>
            </w:r>
          </w:p>
          <w:p w14:paraId="1157000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2.质量保障措施：有质量保障制度说明；</w:t>
            </w:r>
          </w:p>
          <w:p w14:paraId="06C581E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3.风险保障措施：对可能出现的风险情况进行预测并罗列；</w:t>
            </w:r>
          </w:p>
          <w:p w14:paraId="7DF00A8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4.保密措施：有项目资料安全性保障制度说明。</w:t>
            </w:r>
          </w:p>
          <w:p w14:paraId="15FE059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15BB9B8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1.提供上述四项内容的得</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分，提供上述三项内容的得</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分，提供上述二项内容的得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分，其他情况或未提供者不得分。</w:t>
            </w:r>
          </w:p>
          <w:p w14:paraId="0F31102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2.在此基础上，评审专家根据各供应商的具体响应内容按照量化的评审因素指标进一步评审：</w:t>
            </w:r>
          </w:p>
          <w:p w14:paraId="4E3EAB5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（1）评审为优（项目质量保障措施全面具体、有针对性和可操作性）的，加</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p>
          <w:p w14:paraId="3FB5562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（2）评审为良（项目质量保障措施较全面具体、较有针对性和可操作性）的，加1.5分；</w:t>
            </w:r>
          </w:p>
          <w:p w14:paraId="6962F94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（3）评审为中（项目质量保障措施具体性一般、针对性和可操作性一般）的，加1分；</w:t>
            </w:r>
          </w:p>
          <w:p w14:paraId="1268237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（4）未提供或评审为差（项目质量保障措施不全面不具体、不具有针对性和可操作性）的，不加分。</w:t>
            </w:r>
          </w:p>
        </w:tc>
      </w:tr>
      <w:tr w14:paraId="3A49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5489AA42">
            <w:pPr>
              <w:spacing w:line="440" w:lineRule="exact"/>
              <w:jc w:val="center"/>
              <w:outlineLvl w:val="2"/>
              <w:rPr>
                <w:rFonts w:asciiTheme="minorEastAsia" w:hAnsiTheme="minorEastAsia" w:eastAsiaTheme="minorEastAsia" w:cstheme="minorEastAsia"/>
                <w:color w:val="auto"/>
                <w:szCs w:val="21"/>
                <w:highlight w:val="none"/>
              </w:rPr>
            </w:pPr>
          </w:p>
        </w:tc>
        <w:tc>
          <w:tcPr>
            <w:tcW w:w="427" w:type="dxa"/>
            <w:vAlign w:val="center"/>
          </w:tcPr>
          <w:p w14:paraId="494AF0F2">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2527" w:type="dxa"/>
            <w:vAlign w:val="center"/>
          </w:tcPr>
          <w:p w14:paraId="748A008E">
            <w:pPr>
              <w:rPr>
                <w:rFonts w:ascii="宋体" w:hAnsi="宋体"/>
                <w:color w:val="auto"/>
                <w:highlight w:val="none"/>
              </w:rPr>
            </w:pPr>
            <w:r>
              <w:rPr>
                <w:rFonts w:hint="eastAsia" w:ascii="宋体" w:hAnsi="宋体"/>
                <w:color w:val="auto"/>
                <w:highlight w:val="none"/>
              </w:rPr>
              <w:t>项目完成（服务期满）后的服务承诺</w:t>
            </w:r>
          </w:p>
        </w:tc>
        <w:tc>
          <w:tcPr>
            <w:tcW w:w="722" w:type="dxa"/>
            <w:vAlign w:val="center"/>
          </w:tcPr>
          <w:p w14:paraId="0EEBC5FA">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4193" w:type="dxa"/>
            <w:vAlign w:val="center"/>
          </w:tcPr>
          <w:p w14:paraId="0D605C7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58DD69F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投标人承诺以下全部两项的得3分，否则不得分：</w:t>
            </w:r>
          </w:p>
          <w:p w14:paraId="0BB19B4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1.项目完成后服务负责人信息与联系方式。</w:t>
            </w:r>
          </w:p>
          <w:p w14:paraId="104B550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2.售后服务、技术支持、问题解决，服务响应时间不超过24小时。</w:t>
            </w:r>
          </w:p>
          <w:p w14:paraId="3428B6B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3B5264A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要求提供包含上述内容的承诺（格式自拟）作为得分依据，未提供承诺或承诺内容不满足要求不得分。</w:t>
            </w:r>
          </w:p>
        </w:tc>
      </w:tr>
      <w:tr w14:paraId="36C9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1C07B097">
            <w:pPr>
              <w:spacing w:line="440" w:lineRule="exact"/>
              <w:jc w:val="center"/>
              <w:outlineLvl w:val="2"/>
              <w:rPr>
                <w:rFonts w:asciiTheme="minorEastAsia" w:hAnsiTheme="minorEastAsia" w:eastAsiaTheme="minorEastAsia" w:cstheme="minorEastAsia"/>
                <w:color w:val="auto"/>
                <w:szCs w:val="21"/>
                <w:highlight w:val="none"/>
              </w:rPr>
            </w:pPr>
          </w:p>
        </w:tc>
        <w:tc>
          <w:tcPr>
            <w:tcW w:w="427" w:type="dxa"/>
            <w:vAlign w:val="center"/>
          </w:tcPr>
          <w:p w14:paraId="4A4720CD">
            <w:pPr>
              <w:spacing w:line="44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5</w:t>
            </w:r>
          </w:p>
        </w:tc>
        <w:tc>
          <w:tcPr>
            <w:tcW w:w="2527" w:type="dxa"/>
            <w:vAlign w:val="center"/>
          </w:tcPr>
          <w:p w14:paraId="29F16E7D">
            <w:pPr>
              <w:rPr>
                <w:rFonts w:ascii="Times New Roman" w:hAnsi="Times New Roman"/>
                <w:color w:val="auto"/>
                <w:szCs w:val="21"/>
                <w:highlight w:val="none"/>
              </w:rPr>
            </w:pPr>
            <w:r>
              <w:rPr>
                <w:rFonts w:hint="eastAsia" w:ascii="宋体" w:hAnsi="宋体"/>
                <w:color w:val="auto"/>
                <w:highlight w:val="none"/>
              </w:rPr>
              <w:t>拟安排的项目负责人情况（仅限一人）</w:t>
            </w:r>
          </w:p>
        </w:tc>
        <w:tc>
          <w:tcPr>
            <w:tcW w:w="722" w:type="dxa"/>
            <w:vAlign w:val="center"/>
          </w:tcPr>
          <w:p w14:paraId="00864C15">
            <w:pPr>
              <w:spacing w:line="44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7</w:t>
            </w:r>
          </w:p>
        </w:tc>
        <w:tc>
          <w:tcPr>
            <w:tcW w:w="4193" w:type="dxa"/>
            <w:vAlign w:val="center"/>
          </w:tcPr>
          <w:p w14:paraId="045961F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1308AF3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拟安排本项目负责人须为投标人自有员工（以社保证明文件为准），具有计算机相关专业本科及以上学历，不满足得0分。满足社保及学历要求，按以下内容评分。</w:t>
            </w:r>
          </w:p>
          <w:p w14:paraId="2C4E7AC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1、具有计算机技术与软件专业技术资格（水平）考试网络工程师（中级）证书得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p>
          <w:p w14:paraId="5ABF13A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2、具有计算机技术与软件专业技术资格（水平）考试信息系统项目管理师（高级）证书，得</w:t>
            </w:r>
            <w:r>
              <w:rPr>
                <w:rFonts w:hint="eastAsia" w:asciiTheme="minorEastAsia" w:hAnsiTheme="minorEastAsia" w:eastAsiaTheme="minorEastAsia" w:cstheme="minorEastAsia"/>
                <w:color w:val="auto"/>
                <w:szCs w:val="21"/>
                <w:highlight w:val="none"/>
                <w:lang w:val="en-US" w:eastAsia="zh-CN"/>
              </w:rPr>
              <w:t>2.5</w:t>
            </w:r>
            <w:r>
              <w:rPr>
                <w:rFonts w:hint="eastAsia" w:asciiTheme="minorEastAsia" w:hAnsiTheme="minorEastAsia" w:eastAsiaTheme="minorEastAsia" w:cstheme="minorEastAsia"/>
                <w:color w:val="auto"/>
                <w:szCs w:val="21"/>
                <w:highlight w:val="none"/>
              </w:rPr>
              <w:t>分；</w:t>
            </w:r>
          </w:p>
          <w:p w14:paraId="49EED72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3、具有注册信息安全专业人员（CISP）（资质级别：注册渗透测试工程师（CISP-PTE））得</w:t>
            </w:r>
            <w:r>
              <w:rPr>
                <w:rFonts w:hint="eastAsia" w:asciiTheme="minorEastAsia" w:hAnsiTheme="minorEastAsia" w:eastAsiaTheme="minorEastAsia" w:cstheme="minorEastAsia"/>
                <w:color w:val="auto"/>
                <w:szCs w:val="21"/>
                <w:highlight w:val="none"/>
                <w:lang w:val="en-US" w:eastAsia="zh-CN"/>
              </w:rPr>
              <w:t>2.5</w:t>
            </w:r>
            <w:r>
              <w:rPr>
                <w:rFonts w:hint="eastAsia" w:asciiTheme="minorEastAsia" w:hAnsiTheme="minorEastAsia" w:eastAsiaTheme="minorEastAsia" w:cstheme="minorEastAsia"/>
                <w:color w:val="auto"/>
                <w:szCs w:val="21"/>
                <w:highlight w:val="none"/>
              </w:rPr>
              <w:t>分；</w:t>
            </w:r>
          </w:p>
          <w:p w14:paraId="486818A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以上累计得分，最高不超过</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分。</w:t>
            </w:r>
          </w:p>
          <w:p w14:paraId="60B534A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293596C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7135B71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需提供学历证书扫描件以及学信网查询记录，并注明原件备查。对于较早颁发的学历学位证书，学信网无法查询的，可提供其他佐证材料（如毕业院校、人社部门等颁发机构或监管机构等单位出具的证明）作为得分依据；</w:t>
            </w:r>
          </w:p>
          <w:p w14:paraId="593B3F4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3.要求提供投标人相关证明资料作为得分依据；</w:t>
            </w:r>
          </w:p>
          <w:p w14:paraId="04B3746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4.以上资料均要求提供扫描件（或官方网站截图），原件备查。评分中出现无证明资料或专家无法凭所提供资料判断是否得分的情况，一律作不得分处理。</w:t>
            </w:r>
          </w:p>
        </w:tc>
      </w:tr>
      <w:tr w14:paraId="4FD8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EBFFD02">
            <w:pPr>
              <w:spacing w:line="440" w:lineRule="exact"/>
              <w:jc w:val="center"/>
              <w:outlineLvl w:val="2"/>
              <w:rPr>
                <w:rFonts w:asciiTheme="minorEastAsia" w:hAnsiTheme="minorEastAsia" w:eastAsiaTheme="minorEastAsia" w:cstheme="minorEastAsia"/>
                <w:color w:val="auto"/>
                <w:szCs w:val="21"/>
                <w:highlight w:val="none"/>
              </w:rPr>
            </w:pPr>
          </w:p>
        </w:tc>
        <w:tc>
          <w:tcPr>
            <w:tcW w:w="427" w:type="dxa"/>
            <w:vAlign w:val="center"/>
          </w:tcPr>
          <w:p w14:paraId="59786096">
            <w:pPr>
              <w:spacing w:line="44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6</w:t>
            </w:r>
          </w:p>
        </w:tc>
        <w:tc>
          <w:tcPr>
            <w:tcW w:w="2527" w:type="dxa"/>
            <w:vAlign w:val="center"/>
          </w:tcPr>
          <w:p w14:paraId="426D62AF">
            <w:pPr>
              <w:rPr>
                <w:color w:val="auto"/>
                <w:szCs w:val="21"/>
                <w:highlight w:val="none"/>
              </w:rPr>
            </w:pPr>
            <w:r>
              <w:rPr>
                <w:rFonts w:hint="eastAsia" w:ascii="宋体" w:hAnsi="宋体"/>
                <w:color w:val="auto"/>
                <w:highlight w:val="none"/>
              </w:rPr>
              <w:t>拟安排的项目主要团队成员（主要技术人员）情况（项目负责人除外）</w:t>
            </w:r>
          </w:p>
        </w:tc>
        <w:tc>
          <w:tcPr>
            <w:tcW w:w="722" w:type="dxa"/>
            <w:vAlign w:val="center"/>
          </w:tcPr>
          <w:p w14:paraId="53594BC4">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asciiTheme="minorEastAsia" w:hAnsiTheme="minorEastAsia" w:eastAsiaTheme="minorEastAsia" w:cstheme="minorEastAsia"/>
                <w:color w:val="auto"/>
                <w:szCs w:val="21"/>
                <w:highlight w:val="none"/>
              </w:rPr>
              <w:t>5</w:t>
            </w:r>
          </w:p>
        </w:tc>
        <w:tc>
          <w:tcPr>
            <w:tcW w:w="4193" w:type="dxa"/>
            <w:vAlign w:val="center"/>
          </w:tcPr>
          <w:p w14:paraId="0F6C34E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（一）评分内容： </w:t>
            </w:r>
          </w:p>
          <w:p w14:paraId="7AC84CF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拟安排本项目团队成员不少于5人，其中包含检测报告授权签字人（项目负责人除外），所有人员须为投标人在职员工（以社保证明文件为准）。</w:t>
            </w:r>
          </w:p>
          <w:p w14:paraId="1D19190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1.团队成员授权签字人为全日制硕士研究生及以上学历，计算机相关专业，否则本项不得分。在此基础上，按以下标准评分：</w:t>
            </w:r>
          </w:p>
          <w:p w14:paraId="582C499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（1）具有工业和信息化部教育与考试中心颁发的软件测试（高级）相关证书,得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p>
          <w:p w14:paraId="44182AA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（2）具有工业和信息化部教育与考试中心颁发的信创集成项目管理师，得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p>
          <w:p w14:paraId="46CB988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（3）具有中国网络安全审查认证和市场监管大数据中心（原：中国网络安全审查技术与认证中心）颁发的数据安全评估师证书（DSA）的，得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p>
          <w:p w14:paraId="18B307C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.团队成员具有计算机技术与软件专业技术资格（水平）考试软件设计师证书的，得3分；</w:t>
            </w:r>
          </w:p>
          <w:p w14:paraId="5F6A9F1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rPr>
              <w:t>团队成员具有计算机技术与软件专业技术资格（水平）考试软件评测师证书的，得3分；</w:t>
            </w:r>
          </w:p>
          <w:p w14:paraId="3043846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rPr>
              <w:t>团队成员具有中国网络安全审查认证和市场监管大数据中心（原：中国网络安全审查技术与认证中心）颁发的数据安全评估师证书（DSA）的，得3分；</w:t>
            </w:r>
          </w:p>
          <w:p w14:paraId="7935F5E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项累计计分，最高得15分。其同一人同时满足上述多条要求时，按满足条件单项最高分记分，不重复得分。</w:t>
            </w:r>
          </w:p>
          <w:p w14:paraId="5A628A7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10BA561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1.要求提供通过投标人缴纳的近三个月的任意一个月的社保证明作为本单位员工的证明依据。若供应商成立不足三个月的，需提供成立情况说明函（格式自拟），无需提供相关人员社保，亦可得分；</w:t>
            </w:r>
          </w:p>
          <w:p w14:paraId="47BAE39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要求提供学历、学位证书的，明确要求投标人提供证书扫描件以及学信网查询记录，并注明原件备查。对于较早颁发的学历学位证书，学信网无法查询的，除要求提供证书扫描件、注明原件备查外，可在招标文件中要求提供其他佐证材料（如毕业院校、人社部门等颁发机构或监管机构等单位出具的证明）作为可以得分的依据；</w:t>
            </w:r>
          </w:p>
          <w:p w14:paraId="462D115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3.要求提供投标人相关证明资料作为得分依据；</w:t>
            </w:r>
          </w:p>
          <w:p w14:paraId="136022E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4.第1项</w:t>
            </w:r>
            <w:r>
              <w:rPr>
                <w:rFonts w:hint="eastAsia" w:asciiTheme="minorEastAsia" w:hAnsiTheme="minorEastAsia" w:eastAsiaTheme="minorEastAsia" w:cstheme="minorEastAsia"/>
                <w:color w:val="auto"/>
                <w:szCs w:val="21"/>
                <w:highlight w:val="none"/>
              </w:rPr>
              <w:t>授权签字人须提供CNAS或CMA证书附件，作为证明文件；</w:t>
            </w:r>
          </w:p>
          <w:p w14:paraId="6B60ECF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5.以上资料均要求提供扫描件，原件备查。评分中出现无证明资料或专家无法凭所提供资料判断是否得分的情况，一律作不得分处理。</w:t>
            </w:r>
          </w:p>
        </w:tc>
      </w:tr>
      <w:tr w14:paraId="7CB7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0653A96E">
            <w:pPr>
              <w:spacing w:line="440" w:lineRule="exact"/>
              <w:jc w:val="center"/>
              <w:outlineLvl w:val="2"/>
              <w:rPr>
                <w:rFonts w:asciiTheme="minorEastAsia" w:hAnsiTheme="minorEastAsia" w:eastAsiaTheme="minorEastAsia" w:cstheme="minorEastAsia"/>
                <w:color w:val="auto"/>
                <w:szCs w:val="21"/>
                <w:highlight w:val="none"/>
              </w:rPr>
            </w:pPr>
          </w:p>
        </w:tc>
        <w:tc>
          <w:tcPr>
            <w:tcW w:w="427" w:type="dxa"/>
            <w:vAlign w:val="center"/>
          </w:tcPr>
          <w:p w14:paraId="74AB6C30">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7</w:t>
            </w:r>
          </w:p>
        </w:tc>
        <w:tc>
          <w:tcPr>
            <w:tcW w:w="2527" w:type="dxa"/>
            <w:vAlign w:val="center"/>
          </w:tcPr>
          <w:p w14:paraId="3F0FA38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拟投入的服务资源（车辆、场地、工具、机器等）情况</w:t>
            </w:r>
          </w:p>
        </w:tc>
        <w:tc>
          <w:tcPr>
            <w:tcW w:w="722" w:type="dxa"/>
            <w:vAlign w:val="center"/>
          </w:tcPr>
          <w:p w14:paraId="2E197525">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4193" w:type="dxa"/>
            <w:vAlign w:val="center"/>
          </w:tcPr>
          <w:p w14:paraId="204AF0D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0CE05BF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w:t>
            </w:r>
            <w:r>
              <w:rPr>
                <w:rFonts w:hint="eastAsia" w:asciiTheme="minorEastAsia" w:hAnsiTheme="minorEastAsia" w:eastAsiaTheme="minorEastAsia" w:cstheme="minorEastAsia"/>
                <w:color w:val="auto"/>
                <w:szCs w:val="21"/>
                <w:highlight w:val="none"/>
                <w:lang w:val="en-US" w:eastAsia="zh-CN"/>
              </w:rPr>
              <w:t>具有</w:t>
            </w:r>
            <w:r>
              <w:rPr>
                <w:rFonts w:hint="eastAsia" w:asciiTheme="minorEastAsia" w:hAnsiTheme="minorEastAsia" w:eastAsiaTheme="minorEastAsia" w:cstheme="minorEastAsia"/>
                <w:color w:val="auto"/>
                <w:szCs w:val="21"/>
                <w:highlight w:val="none"/>
              </w:rPr>
              <w:t>源代码安全审查工具，得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w:t>
            </w:r>
          </w:p>
          <w:p w14:paraId="5B2A1B7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13DFCDC1">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1.自主开发的专业工具软件：提供软件著作权登记证书扫描件，著作权人需为投标人；</w:t>
            </w:r>
          </w:p>
          <w:p w14:paraId="264D752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2.购买或租赁的专业工具软件：提供工具的购买（或租赁）合同和发票扫描件；同时提供提供软件著作权证书扫描件，著作权人需为出售方（或出租方）；</w:t>
            </w:r>
          </w:p>
          <w:p w14:paraId="701D6E9C">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3.购买或租赁的专业硬件工具：提供工具的购买（或租赁）合同和发票扫描件，附工具照片；</w:t>
            </w:r>
          </w:p>
          <w:p w14:paraId="12D00C3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4.以上文件均要求原件备查，未提供相关证明材料或者提供的证明材料不符合要求的或提供的证明材料不清晰评审专家无法辨认的，不得分。</w:t>
            </w:r>
          </w:p>
        </w:tc>
      </w:tr>
      <w:tr w14:paraId="1A62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6B9E4D24">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w:t>
            </w:r>
          </w:p>
        </w:tc>
        <w:tc>
          <w:tcPr>
            <w:tcW w:w="3676" w:type="dxa"/>
            <w:gridSpan w:val="3"/>
            <w:vAlign w:val="center"/>
          </w:tcPr>
          <w:p w14:paraId="4E80F073">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商务部分</w:t>
            </w:r>
          </w:p>
        </w:tc>
        <w:tc>
          <w:tcPr>
            <w:tcW w:w="4193" w:type="dxa"/>
            <w:vAlign w:val="center"/>
          </w:tcPr>
          <w:p w14:paraId="6781872E">
            <w:pPr>
              <w:spacing w:line="440" w:lineRule="exact"/>
              <w:jc w:val="center"/>
              <w:rPr>
                <w:rFonts w:hint="default"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25</w:t>
            </w:r>
          </w:p>
        </w:tc>
      </w:tr>
      <w:tr w14:paraId="4C8D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vAlign w:val="center"/>
          </w:tcPr>
          <w:p w14:paraId="404675AC">
            <w:pPr>
              <w:spacing w:line="440" w:lineRule="exact"/>
              <w:jc w:val="center"/>
              <w:outlineLvl w:val="0"/>
              <w:rPr>
                <w:rFonts w:asciiTheme="minorEastAsia" w:hAnsiTheme="minorEastAsia" w:eastAsiaTheme="minorEastAsia" w:cstheme="minorEastAsia"/>
                <w:color w:val="auto"/>
                <w:szCs w:val="21"/>
                <w:highlight w:val="none"/>
              </w:rPr>
            </w:pPr>
          </w:p>
        </w:tc>
        <w:tc>
          <w:tcPr>
            <w:tcW w:w="427" w:type="dxa"/>
            <w:vAlign w:val="center"/>
          </w:tcPr>
          <w:p w14:paraId="19381267">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527" w:type="dxa"/>
            <w:vAlign w:val="center"/>
          </w:tcPr>
          <w:p w14:paraId="3E3F6127">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评分因素</w:t>
            </w:r>
          </w:p>
        </w:tc>
        <w:tc>
          <w:tcPr>
            <w:tcW w:w="722" w:type="dxa"/>
            <w:vAlign w:val="center"/>
          </w:tcPr>
          <w:p w14:paraId="7955150A">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权重</w:t>
            </w:r>
          </w:p>
        </w:tc>
        <w:tc>
          <w:tcPr>
            <w:tcW w:w="4193" w:type="dxa"/>
            <w:vAlign w:val="center"/>
          </w:tcPr>
          <w:p w14:paraId="55F48987">
            <w:pPr>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评分准则</w:t>
            </w:r>
          </w:p>
        </w:tc>
      </w:tr>
      <w:tr w14:paraId="5C7D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758769CD">
            <w:pPr>
              <w:spacing w:line="440" w:lineRule="exact"/>
              <w:jc w:val="center"/>
              <w:outlineLvl w:val="0"/>
              <w:rPr>
                <w:rFonts w:asciiTheme="minorEastAsia" w:hAnsiTheme="minorEastAsia" w:eastAsiaTheme="minorEastAsia" w:cstheme="minorEastAsia"/>
                <w:color w:val="auto"/>
                <w:szCs w:val="21"/>
                <w:highlight w:val="none"/>
              </w:rPr>
            </w:pPr>
          </w:p>
        </w:tc>
        <w:tc>
          <w:tcPr>
            <w:tcW w:w="427" w:type="dxa"/>
            <w:vAlign w:val="center"/>
          </w:tcPr>
          <w:p w14:paraId="30AA5910">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527" w:type="dxa"/>
            <w:vAlign w:val="center"/>
          </w:tcPr>
          <w:p w14:paraId="78D2B4A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供应商认证情况</w:t>
            </w:r>
          </w:p>
        </w:tc>
        <w:tc>
          <w:tcPr>
            <w:tcW w:w="722" w:type="dxa"/>
            <w:vAlign w:val="center"/>
          </w:tcPr>
          <w:p w14:paraId="750072F4">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4193" w:type="dxa"/>
            <w:vAlign w:val="center"/>
          </w:tcPr>
          <w:p w14:paraId="6C84331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7B4B0CA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供应商具备资质/资格证书的情况：</w:t>
            </w:r>
          </w:p>
          <w:p w14:paraId="29B4D25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1.具备中国网络安全审查认证和市场监管大数据中心（原：中国网络安全审查技术与认证中心）颁发的信息安全风险评估服务资质证书</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得2分；</w:t>
            </w:r>
          </w:p>
          <w:p w14:paraId="1E05286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.具有能力成熟度模型集成（CMMI3）及以上证书</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w:t>
            </w:r>
          </w:p>
          <w:p w14:paraId="5098D19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以上得分累计，最高得5分。</w:t>
            </w:r>
          </w:p>
          <w:p w14:paraId="492C7CD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06647F8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rPr>
              <w:t>提供相关证明文件及证书官网或权威机构等合法查询渠道的查询记录，在公开渠道无法查询的，需要求提供颁发部门或者监管机构的证明材料，证明证书真实有效且为合法机构颁发；原件备查。未提供证明材料或者提供的证明材料不符合要求或提供的证明材料不清晰评审专家无法辨认的，不得分；</w:t>
            </w:r>
          </w:p>
          <w:p w14:paraId="6FBAD518">
            <w:pPr>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rPr>
              <w:t>以上资料均要求提供扫描件，原件备查。评分中出现无证明资料或专家无法凭所提供资料判断是否得分的情况，一律作不得分处理。</w:t>
            </w:r>
          </w:p>
        </w:tc>
      </w:tr>
      <w:tr w14:paraId="6A3B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2720B7B3">
            <w:pPr>
              <w:spacing w:line="440" w:lineRule="exact"/>
              <w:jc w:val="center"/>
              <w:outlineLvl w:val="0"/>
              <w:rPr>
                <w:rFonts w:asciiTheme="minorEastAsia" w:hAnsiTheme="minorEastAsia" w:eastAsiaTheme="minorEastAsia" w:cstheme="minorEastAsia"/>
                <w:color w:val="auto"/>
                <w:szCs w:val="21"/>
                <w:highlight w:val="none"/>
              </w:rPr>
            </w:pPr>
          </w:p>
        </w:tc>
        <w:tc>
          <w:tcPr>
            <w:tcW w:w="427" w:type="dxa"/>
            <w:vAlign w:val="center"/>
          </w:tcPr>
          <w:p w14:paraId="4E1AB18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527" w:type="dxa"/>
            <w:vAlign w:val="center"/>
          </w:tcPr>
          <w:p w14:paraId="178934D3">
            <w:pPr>
              <w:widowControl/>
              <w:wordWrap w:val="0"/>
              <w:jc w:val="center"/>
              <w:rPr>
                <w:rFonts w:ascii="宋体" w:hAnsi="宋体" w:cs="宋体"/>
                <w:color w:val="auto"/>
                <w:szCs w:val="21"/>
                <w:highlight w:val="none"/>
              </w:rPr>
            </w:pPr>
            <w:r>
              <w:rPr>
                <w:rFonts w:hint="eastAsia" w:ascii="宋体" w:hAnsi="宋体" w:cs="宋体"/>
                <w:color w:val="auto"/>
                <w:szCs w:val="21"/>
                <w:highlight w:val="none"/>
              </w:rPr>
              <w:t>供应商同类项目业绩情况</w:t>
            </w:r>
          </w:p>
        </w:tc>
        <w:tc>
          <w:tcPr>
            <w:tcW w:w="722" w:type="dxa"/>
            <w:vAlign w:val="center"/>
          </w:tcPr>
          <w:p w14:paraId="5748522C">
            <w:pPr>
              <w:widowControl/>
              <w:wordWrap w:val="0"/>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w:t>
            </w:r>
          </w:p>
        </w:tc>
        <w:tc>
          <w:tcPr>
            <w:tcW w:w="4193" w:type="dxa"/>
          </w:tcPr>
          <w:p w14:paraId="6EEC22EF">
            <w:pPr>
              <w:widowControl/>
              <w:wordWrap w:val="0"/>
              <w:jc w:val="left"/>
              <w:rPr>
                <w:rFonts w:ascii="宋体" w:hAnsi="宋体" w:cs="宋体"/>
                <w:color w:val="auto"/>
                <w:kern w:val="0"/>
                <w:szCs w:val="21"/>
                <w:highlight w:val="none"/>
              </w:rPr>
            </w:pPr>
            <w:r>
              <w:rPr>
                <w:rFonts w:hint="eastAsia" w:ascii="宋体" w:hAnsi="宋体" w:cs="宋体"/>
                <w:color w:val="auto"/>
                <w:kern w:val="0"/>
                <w:szCs w:val="21"/>
                <w:highlight w:val="none"/>
              </w:rPr>
              <w:t>（一）评分内容：</w:t>
            </w:r>
          </w:p>
          <w:p w14:paraId="7474A957">
            <w:pPr>
              <w:widowControl/>
              <w:wordWrap w:val="0"/>
              <w:jc w:val="left"/>
              <w:rPr>
                <w:rFonts w:ascii="宋体" w:hAnsi="宋体" w:cs="宋体"/>
                <w:color w:val="auto"/>
                <w:kern w:val="0"/>
                <w:szCs w:val="21"/>
                <w:highlight w:val="none"/>
              </w:rPr>
            </w:pPr>
            <w:r>
              <w:rPr>
                <w:rFonts w:hint="eastAsia" w:ascii="宋体" w:hAnsi="宋体" w:cs="宋体"/>
                <w:color w:val="auto"/>
                <w:kern w:val="0"/>
                <w:szCs w:val="21"/>
                <w:highlight w:val="none"/>
              </w:rPr>
              <w:t>投标人自202</w:t>
            </w:r>
            <w:r>
              <w:rPr>
                <w:rFonts w:ascii="宋体" w:hAnsi="宋体" w:cs="宋体"/>
                <w:color w:val="auto"/>
                <w:kern w:val="0"/>
                <w:szCs w:val="21"/>
                <w:highlight w:val="none"/>
              </w:rPr>
              <w:t>2</w:t>
            </w:r>
            <w:r>
              <w:rPr>
                <w:rFonts w:hint="eastAsia" w:ascii="宋体" w:hAnsi="宋体" w:cs="宋体"/>
                <w:color w:val="auto"/>
                <w:kern w:val="0"/>
                <w:szCs w:val="21"/>
                <w:highlight w:val="none"/>
              </w:rPr>
              <w:t>年1月1日至本项目投标截止之日（具体以合同签订时间为准）承接过党政机关或事业单位的第三方测评服务项目的，每提供一项案例得5分，最高得10分。</w:t>
            </w:r>
          </w:p>
          <w:p w14:paraId="359B68AE">
            <w:pPr>
              <w:widowControl/>
              <w:wordWrap w:val="0"/>
              <w:jc w:val="left"/>
              <w:rPr>
                <w:rFonts w:ascii="宋体" w:hAnsi="宋体" w:cs="宋体"/>
                <w:color w:val="auto"/>
                <w:kern w:val="0"/>
                <w:szCs w:val="21"/>
                <w:highlight w:val="none"/>
              </w:rPr>
            </w:pPr>
            <w:r>
              <w:rPr>
                <w:rFonts w:hint="eastAsia" w:ascii="宋体" w:hAnsi="宋体" w:cs="宋体"/>
                <w:color w:val="auto"/>
                <w:kern w:val="0"/>
                <w:szCs w:val="21"/>
                <w:highlight w:val="none"/>
              </w:rPr>
              <w:t>（二）评分依据：</w:t>
            </w:r>
          </w:p>
          <w:p w14:paraId="7F5C9C4D">
            <w:pPr>
              <w:widowControl/>
              <w:wordWrap w:val="0"/>
              <w:jc w:val="left"/>
              <w:rPr>
                <w:rFonts w:ascii="宋体" w:hAnsi="宋体" w:cs="宋体"/>
                <w:color w:val="auto"/>
                <w:kern w:val="0"/>
                <w:szCs w:val="21"/>
                <w:highlight w:val="none"/>
              </w:rPr>
            </w:pPr>
            <w:r>
              <w:rPr>
                <w:rFonts w:hint="eastAsia" w:ascii="宋体" w:hAnsi="宋体" w:cs="宋体"/>
                <w:color w:val="auto"/>
                <w:kern w:val="0"/>
                <w:szCs w:val="21"/>
                <w:highlight w:val="none"/>
              </w:rPr>
              <w:t>1、要求同时提供合同关键信息，且履约评价合格（或以上）或者验收合格证明文件作为得分依据，履约评价合格或者验收合格证明文件需加盖合同甲方公章（或甲方业务章）；</w:t>
            </w:r>
          </w:p>
          <w:p w14:paraId="2E9BDEE6">
            <w:pPr>
              <w:widowControl/>
              <w:wordWrap w:val="0"/>
              <w:jc w:val="left"/>
              <w:rPr>
                <w:rFonts w:ascii="宋体" w:hAnsi="宋体" w:cs="宋体"/>
                <w:color w:val="auto"/>
                <w:kern w:val="0"/>
                <w:szCs w:val="21"/>
                <w:highlight w:val="none"/>
              </w:rPr>
            </w:pPr>
            <w:r>
              <w:rPr>
                <w:rFonts w:hint="eastAsia" w:ascii="宋体" w:hAnsi="宋体" w:cs="宋体"/>
                <w:color w:val="auto"/>
                <w:kern w:val="0"/>
                <w:szCs w:val="21"/>
                <w:highlight w:val="none"/>
              </w:rPr>
              <w:t>2、以上资料均要求提供扫描件。评分中出现无证明资料或专家无法凭所提供资料判断是否得分的情况，一律作不得分处理。</w:t>
            </w:r>
          </w:p>
        </w:tc>
      </w:tr>
      <w:tr w14:paraId="6E1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continue"/>
            <w:vAlign w:val="center"/>
          </w:tcPr>
          <w:p w14:paraId="24809548">
            <w:pPr>
              <w:spacing w:line="440" w:lineRule="exact"/>
              <w:jc w:val="center"/>
              <w:outlineLvl w:val="0"/>
              <w:rPr>
                <w:rFonts w:asciiTheme="minorEastAsia" w:hAnsiTheme="minorEastAsia" w:eastAsiaTheme="minorEastAsia" w:cstheme="minorEastAsia"/>
                <w:color w:val="auto"/>
                <w:szCs w:val="21"/>
                <w:highlight w:val="none"/>
              </w:rPr>
            </w:pPr>
          </w:p>
        </w:tc>
        <w:tc>
          <w:tcPr>
            <w:tcW w:w="427" w:type="dxa"/>
            <w:vAlign w:val="center"/>
          </w:tcPr>
          <w:p w14:paraId="5C04433D">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2527" w:type="dxa"/>
            <w:vAlign w:val="center"/>
          </w:tcPr>
          <w:p w14:paraId="10733884">
            <w:pPr>
              <w:widowControl/>
              <w:wordWrap w:val="0"/>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供应商自主知识产权产品（创新、设计）情况</w:t>
            </w:r>
          </w:p>
        </w:tc>
        <w:tc>
          <w:tcPr>
            <w:tcW w:w="722" w:type="dxa"/>
            <w:vAlign w:val="center"/>
          </w:tcPr>
          <w:p w14:paraId="0CE88F72">
            <w:pPr>
              <w:widowControl/>
              <w:wordWrap w:val="0"/>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10</w:t>
            </w:r>
          </w:p>
        </w:tc>
        <w:tc>
          <w:tcPr>
            <w:tcW w:w="4193" w:type="dxa"/>
          </w:tcPr>
          <w:p w14:paraId="155E2556">
            <w:pPr>
              <w:widowControl/>
              <w:wordWrap w:val="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（一）评分内容：</w:t>
            </w:r>
          </w:p>
          <w:p w14:paraId="7CA4D115">
            <w:pPr>
              <w:widowControl/>
              <w:wordWrap w:val="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1．具有质量分析评估软件类产品专利或软件著作权登记证书，得</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6038622A">
            <w:pPr>
              <w:widowControl/>
              <w:wordWrap w:val="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2．具有测试管理类软件产品专利或软件著作登记证书，得</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5979B80B">
            <w:pPr>
              <w:widowControl/>
              <w:wordWrap w:val="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．具有供应链安全检查类软件产品专利或软件著作登记证书，得</w:t>
            </w: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分。</w:t>
            </w:r>
          </w:p>
          <w:p w14:paraId="3EFECDD5">
            <w:pPr>
              <w:widowControl/>
              <w:wordWrap w:val="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（二）评分依据:</w:t>
            </w:r>
          </w:p>
          <w:p w14:paraId="2864121D">
            <w:pPr>
              <w:widowControl/>
              <w:wordWrap w:val="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1.要求提供有效的产权（专利）证书等证明材料作为得分依据。</w:t>
            </w:r>
          </w:p>
          <w:p w14:paraId="3B36F5CA">
            <w:pPr>
              <w:widowControl/>
              <w:wordWrap w:val="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2.以上资料均要求提供扫描件（或官方网站截图），原件备查。评分中出现无证明资料或专家无法凭所提供资料判断是否得分的情况，一律作不得分处理。</w:t>
            </w:r>
          </w:p>
        </w:tc>
      </w:tr>
    </w:tbl>
    <w:p w14:paraId="1EDAD017">
      <w:pPr>
        <w:numPr>
          <w:ilvl w:val="255"/>
          <w:numId w:val="0"/>
        </w:numPr>
        <w:spacing w:line="560" w:lineRule="exact"/>
        <w:ind w:firstLine="640" w:firstLineChars="200"/>
        <w:rPr>
          <w:rFonts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五、商务需求</w:t>
      </w:r>
    </w:p>
    <w:p w14:paraId="53071D18">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（一）服务期限：6个月</w:t>
      </w:r>
    </w:p>
    <w:p w14:paraId="70F86B7C">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（二）服务地点：深圳市福田区市民中心C区</w:t>
      </w:r>
    </w:p>
    <w:p w14:paraId="7369476E">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（三）项目属性：非长期服务项目</w:t>
      </w:r>
    </w:p>
    <w:p w14:paraId="3156243A">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（四）报价要求：</w:t>
      </w:r>
    </w:p>
    <w:p w14:paraId="6A06B2F3">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04E5A52F">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2.投标供应商应当根据本企业的成本自行决定报价，但不得以低于其企业成本的报价投标。由于报价过低有可能影响服务质量或者不能诚信履约的，必要时需提交书面说明和相关证明材料；如不能证明其报价合理性的，作为无效投标处理。</w:t>
      </w:r>
    </w:p>
    <w:p w14:paraId="2FDFC860">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3.投标供应商的报价不得超过项目预算金额。</w:t>
      </w:r>
    </w:p>
    <w:p w14:paraId="3322A088">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4.投标供应商的报价，应当是本项目采购范围和采购文件及合同条款上所列的各项内容中所述的全部，不得以任何理由予以重复。</w:t>
      </w:r>
    </w:p>
    <w:p w14:paraId="427D22E1">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5.投标供应商应按采购文件需根据目录内容编写页码，包含报价函、报价表、法人授权委托书、技术响应偏离情况说明表、商务响应表、政府采购违法行为风险知悉确认书、无不良行为承诺书、资质审查材料及其他证明资料等（详见附件），将投标文件（一式五份，正本1份，副本4份，附电子版，电子版是以光盘、U盘或硬盘等移动存储介质提交的加盖公章的PDF电子文件），信封或包装袋封面上应写明：项目名称、供应商名称，投标供应商自行承担所有与编写和提交响应文件有关的费用。</w:t>
      </w:r>
    </w:p>
    <w:p w14:paraId="3DB9414B">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6.投标供应商不得期望通过索赔等方式获取补偿，否则，除可能遭到拒绝外，还可能将被作为不良行为记录在案，并可能影响其以后参加政府采购的项目投标。各投标供应商在报价时，应充分考虑报价的风险。</w:t>
      </w:r>
    </w:p>
    <w:p w14:paraId="787AB016">
      <w:pPr>
        <w:numPr>
          <w:ilvl w:val="255"/>
          <w:numId w:val="0"/>
        </w:numPr>
        <w:spacing w:line="560" w:lineRule="exact"/>
        <w:ind w:firstLine="320" w:firstLineChars="1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（五）验收要求</w:t>
      </w:r>
    </w:p>
    <w:p w14:paraId="667E6F35">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服务期满，中标人提出验收申请后采购人7日内组织履约验收，中标人提交验收总结报告，针对服务期内的工作进行总结，对采购人目前政务服务的问题提出针对性措施。经采购人确认中标人已完成所有服务内容，且完成资料交接后，视为验收合格。</w:t>
      </w:r>
    </w:p>
    <w:p w14:paraId="0C3653C1">
      <w:pPr>
        <w:numPr>
          <w:ilvl w:val="255"/>
          <w:numId w:val="0"/>
        </w:numPr>
        <w:spacing w:line="560" w:lineRule="exact"/>
        <w:ind w:firstLine="320" w:firstLineChars="1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（六）知识产权归属</w:t>
      </w:r>
    </w:p>
    <w:p w14:paraId="69D3FB5F">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为履行本合同所规定的内容及义务，服务单位（中标人）产出的服务成果知识产权归采购人所有。</w:t>
      </w:r>
    </w:p>
    <w:p w14:paraId="3A15E91F">
      <w:pPr>
        <w:numPr>
          <w:ilvl w:val="255"/>
          <w:numId w:val="0"/>
        </w:numPr>
        <w:spacing w:line="560" w:lineRule="exact"/>
        <w:ind w:firstLine="320" w:firstLineChars="1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（七）保密要求</w:t>
      </w:r>
    </w:p>
    <w:p w14:paraId="505CE9BF">
      <w:pPr>
        <w:numPr>
          <w:ilvl w:val="255"/>
          <w:numId w:val="0"/>
        </w:numPr>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中标人应对本项目的内容、因履行本项目或在本项目期间获得的或收到的采购人的商务、财务、技术、产品的信息、用户资料，均不得泄漏给除甲方或其指定的代表之外的任何人或企业，不管本合同因何种原因终止，本条款一直约束乙方。</w:t>
      </w:r>
    </w:p>
    <w:p w14:paraId="238383B8">
      <w:pPr>
        <w:numPr>
          <w:ilvl w:val="255"/>
          <w:numId w:val="0"/>
        </w:numPr>
        <w:spacing w:line="560" w:lineRule="exact"/>
        <w:ind w:firstLine="640" w:firstLineChars="200"/>
        <w:rPr>
          <w:rFonts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六、提交投标文件联系方式、地点和截止时间</w:t>
      </w:r>
    </w:p>
    <w:p w14:paraId="77C58A41">
      <w:pPr>
        <w:spacing w:line="560" w:lineRule="exact"/>
        <w:ind w:firstLine="640" w:firstLineChars="200"/>
        <w:rPr>
          <w:rFonts w:ascii="Times New Roman" w:hAnsi="Times New Roman" w:eastAsia="仿宋"/>
          <w:color w:val="auto"/>
          <w:sz w:val="32"/>
          <w:szCs w:val="21"/>
          <w:highlight w:val="none"/>
        </w:rPr>
      </w:pPr>
      <w:r>
        <w:rPr>
          <w:rFonts w:hint="eastAsia" w:ascii="Times New Roman" w:hAnsi="Times New Roman" w:eastAsia="仿宋"/>
          <w:color w:val="auto"/>
          <w:sz w:val="32"/>
          <w:szCs w:val="21"/>
          <w:highlight w:val="none"/>
        </w:rPr>
        <w:t xml:space="preserve">（一）联系人：张先生 </w:t>
      </w:r>
      <w:r>
        <w:rPr>
          <w:rFonts w:ascii="Times New Roman" w:hAnsi="Times New Roman" w:eastAsia="仿宋"/>
          <w:color w:val="auto"/>
          <w:sz w:val="32"/>
          <w:szCs w:val="21"/>
          <w:highlight w:val="none"/>
        </w:rPr>
        <w:t xml:space="preserve">88127356  </w:t>
      </w:r>
      <w:r>
        <w:rPr>
          <w:rFonts w:hint="eastAsia" w:ascii="Times New Roman" w:hAnsi="Times New Roman" w:eastAsia="仿宋"/>
          <w:color w:val="auto"/>
          <w:sz w:val="32"/>
          <w:szCs w:val="21"/>
          <w:highlight w:val="none"/>
        </w:rPr>
        <w:t xml:space="preserve">蔡先生 </w:t>
      </w:r>
      <w:r>
        <w:rPr>
          <w:rFonts w:ascii="Times New Roman" w:hAnsi="Times New Roman" w:eastAsia="仿宋"/>
          <w:color w:val="auto"/>
          <w:sz w:val="32"/>
          <w:szCs w:val="21"/>
          <w:highlight w:val="none"/>
        </w:rPr>
        <w:t>88125245</w:t>
      </w:r>
    </w:p>
    <w:p w14:paraId="18759D20">
      <w:pPr>
        <w:spacing w:line="560" w:lineRule="exact"/>
        <w:ind w:firstLine="640" w:firstLineChars="200"/>
        <w:rPr>
          <w:rFonts w:ascii="Times New Roman" w:hAnsi="Times New Roman" w:eastAsia="仿宋"/>
          <w:color w:val="auto"/>
          <w:sz w:val="32"/>
          <w:szCs w:val="21"/>
          <w:highlight w:val="none"/>
        </w:rPr>
      </w:pPr>
      <w:r>
        <w:rPr>
          <w:rFonts w:hint="eastAsia" w:ascii="Times New Roman" w:hAnsi="Times New Roman" w:eastAsia="仿宋"/>
          <w:color w:val="auto"/>
          <w:sz w:val="32"/>
          <w:szCs w:val="21"/>
          <w:highlight w:val="none"/>
        </w:rPr>
        <w:t>（二）投标地点：深圳市福田区市民中心C区4091室</w:t>
      </w:r>
    </w:p>
    <w:p w14:paraId="4056E929">
      <w:pPr>
        <w:spacing w:line="560" w:lineRule="exact"/>
        <w:ind w:firstLine="640" w:firstLineChars="200"/>
        <w:rPr>
          <w:rFonts w:ascii="Times New Roman" w:hAnsi="Times New Roman" w:eastAsia="仿宋"/>
          <w:color w:val="auto"/>
          <w:sz w:val="32"/>
          <w:szCs w:val="21"/>
          <w:highlight w:val="none"/>
        </w:rPr>
      </w:pPr>
      <w:r>
        <w:rPr>
          <w:rFonts w:hint="eastAsia" w:ascii="Times New Roman" w:hAnsi="Times New Roman" w:eastAsia="仿宋"/>
          <w:color w:val="auto"/>
          <w:sz w:val="32"/>
          <w:szCs w:val="21"/>
          <w:highlight w:val="none"/>
        </w:rPr>
        <w:t>（三）投标方式：通过EMS邮寄（不需要现场报名），投标时间自公告发布之日至投标截止时间，逾期不予受理。</w:t>
      </w:r>
    </w:p>
    <w:p w14:paraId="07A3976F">
      <w:pPr>
        <w:spacing w:line="560" w:lineRule="exact"/>
        <w:ind w:firstLine="640" w:firstLineChars="200"/>
        <w:rPr>
          <w:rFonts w:hint="eastAsia" w:ascii="Times New Roman" w:hAnsi="Times New Roman" w:eastAsia="仿宋"/>
          <w:color w:val="auto"/>
          <w:sz w:val="32"/>
          <w:szCs w:val="21"/>
          <w:highlight w:val="none"/>
        </w:rPr>
      </w:pPr>
      <w:r>
        <w:rPr>
          <w:rFonts w:hint="eastAsia" w:ascii="Times New Roman" w:hAnsi="Times New Roman" w:eastAsia="仿宋"/>
          <w:color w:val="auto"/>
          <w:sz w:val="32"/>
          <w:szCs w:val="21"/>
          <w:highlight w:val="none"/>
        </w:rPr>
        <w:t>（四）投标截止时间：2025年</w:t>
      </w:r>
      <w:r>
        <w:rPr>
          <w:rFonts w:hint="eastAsia" w:ascii="Times New Roman" w:hAnsi="Times New Roman" w:eastAsia="仿宋"/>
          <w:color w:val="auto"/>
          <w:sz w:val="32"/>
          <w:szCs w:val="21"/>
          <w:highlight w:val="none"/>
          <w:lang w:val="en-US" w:eastAsia="zh-CN"/>
        </w:rPr>
        <w:t>10</w:t>
      </w:r>
      <w:r>
        <w:rPr>
          <w:rFonts w:hint="eastAsia" w:ascii="Times New Roman" w:hAnsi="Times New Roman" w:eastAsia="仿宋"/>
          <w:color w:val="auto"/>
          <w:sz w:val="32"/>
          <w:szCs w:val="21"/>
          <w:highlight w:val="none"/>
        </w:rPr>
        <w:t>月</w:t>
      </w:r>
      <w:r>
        <w:rPr>
          <w:rFonts w:hint="eastAsia" w:ascii="Times New Roman" w:hAnsi="Times New Roman" w:eastAsia="仿宋"/>
          <w:color w:val="auto"/>
          <w:sz w:val="32"/>
          <w:szCs w:val="21"/>
          <w:highlight w:val="none"/>
          <w:lang w:val="en-US" w:eastAsia="zh-CN"/>
        </w:rPr>
        <w:t>18</w:t>
      </w:r>
      <w:r>
        <w:rPr>
          <w:rFonts w:hint="eastAsia" w:ascii="Times New Roman" w:hAnsi="Times New Roman" w:eastAsia="仿宋"/>
          <w:color w:val="auto"/>
          <w:sz w:val="32"/>
          <w:szCs w:val="21"/>
          <w:highlight w:val="none"/>
        </w:rPr>
        <w:t>日18时00分</w:t>
      </w:r>
    </w:p>
    <w:p w14:paraId="166882F1">
      <w:pPr>
        <w:spacing w:line="560" w:lineRule="exact"/>
        <w:ind w:firstLine="640" w:firstLineChars="200"/>
        <w:rPr>
          <w:rFonts w:ascii="黑体" w:hAnsi="黑体" w:eastAsia="黑体" w:cs="仿宋"/>
          <w:color w:val="auto"/>
          <w:sz w:val="32"/>
          <w:szCs w:val="32"/>
          <w:highlight w:val="none"/>
        </w:rPr>
      </w:pPr>
      <w:r>
        <w:rPr>
          <w:rFonts w:hint="eastAsia" w:ascii="黑体" w:hAnsi="黑体" w:eastAsia="黑体" w:cs="仿宋"/>
          <w:color w:val="auto"/>
          <w:sz w:val="32"/>
          <w:szCs w:val="32"/>
          <w:highlight w:val="none"/>
        </w:rPr>
        <w:t>七、附件</w:t>
      </w:r>
    </w:p>
    <w:p w14:paraId="25FDA069">
      <w:pPr>
        <w:spacing w:line="560" w:lineRule="exact"/>
        <w:ind w:firstLine="640" w:firstLineChars="200"/>
        <w:rPr>
          <w:rFonts w:ascii="仿宋_GB2312" w:eastAsia="仿宋_GB2312"/>
          <w:color w:val="auto"/>
          <w:kern w:val="0"/>
          <w:sz w:val="32"/>
          <w:szCs w:val="21"/>
          <w:highlight w:val="none"/>
        </w:rPr>
      </w:pPr>
      <w:r>
        <w:rPr>
          <w:rFonts w:hint="eastAsia" w:ascii="仿宋_GB2312" w:hAnsi="仿宋_GB2312" w:eastAsia="仿宋_GB2312" w:cs="仿宋_GB2312"/>
          <w:color w:val="auto"/>
          <w:kern w:val="0"/>
          <w:sz w:val="32"/>
          <w:szCs w:val="32"/>
          <w:highlight w:val="none"/>
        </w:rPr>
        <w:t>投标文件格式要求及评分标准</w:t>
      </w:r>
    </w:p>
    <w:p w14:paraId="4F871609">
      <w:pPr>
        <w:spacing w:line="560" w:lineRule="exact"/>
        <w:ind w:firstLine="960" w:firstLineChars="300"/>
        <w:jc w:val="right"/>
        <w:rPr>
          <w:rFonts w:ascii="仿宋" w:hAnsi="仿宋" w:eastAsia="仿宋" w:cs="仿宋"/>
          <w:color w:val="auto"/>
          <w:sz w:val="32"/>
          <w:szCs w:val="32"/>
          <w:highlight w:val="none"/>
        </w:rPr>
      </w:pPr>
    </w:p>
    <w:p w14:paraId="0DEEFE9C">
      <w:pPr>
        <w:wordWrap w:val="0"/>
        <w:spacing w:line="560" w:lineRule="exact"/>
        <w:ind w:firstLine="640" w:firstLineChars="200"/>
        <w:jc w:val="righ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市委金融办       </w:t>
      </w:r>
    </w:p>
    <w:p w14:paraId="34B43D52">
      <w:pPr>
        <w:wordWrap w:val="0"/>
        <w:spacing w:line="560" w:lineRule="exact"/>
        <w:ind w:firstLine="640" w:firstLineChars="200"/>
        <w:jc w:val="right"/>
        <w:rPr>
          <w:rFonts w:ascii="Times New Roman" w:hAnsi="Times New Roman" w:eastAsia="仿宋"/>
          <w:color w:val="auto"/>
          <w:sz w:val="32"/>
          <w:szCs w:val="21"/>
          <w:highlight w:val="none"/>
        </w:rPr>
      </w:pPr>
      <w:r>
        <w:rPr>
          <w:rFonts w:hint="eastAsia" w:ascii="仿宋" w:hAnsi="仿宋" w:eastAsia="仿宋" w:cs="仿宋"/>
          <w:color w:val="auto"/>
          <w:sz w:val="32"/>
          <w:szCs w:val="32"/>
          <w:highlight w:val="none"/>
        </w:rPr>
        <w:t xml:space="preserve">  2025年</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9</w:t>
      </w:r>
      <w:bookmarkStart w:id="0" w:name="_GoBack"/>
      <w:bookmarkEnd w:id="0"/>
      <w:r>
        <w:rPr>
          <w:rFonts w:hint="eastAsia" w:ascii="仿宋" w:hAnsi="仿宋" w:eastAsia="仿宋" w:cs="仿宋"/>
          <w:color w:val="auto"/>
          <w:sz w:val="32"/>
          <w:szCs w:val="32"/>
          <w:highlight w:val="none"/>
        </w:rPr>
        <w:t xml:space="preserve">日    </w:t>
      </w:r>
    </w:p>
    <w:p w14:paraId="1BAD284D">
      <w:pPr>
        <w:rPr>
          <w:rFonts w:ascii="Times New Roman" w:hAnsi="Times New Roman" w:eastAsia="仿宋"/>
          <w:color w:val="auto"/>
          <w:sz w:val="32"/>
          <w:szCs w:val="21"/>
          <w:highlight w:val="none"/>
        </w:rPr>
      </w:pPr>
      <w:r>
        <w:rPr>
          <w:rFonts w:ascii="Times New Roman" w:hAnsi="Times New Roman" w:eastAsia="仿宋"/>
          <w:color w:val="auto"/>
          <w:sz w:val="32"/>
          <w:szCs w:val="21"/>
          <w:highlight w:val="none"/>
        </w:rPr>
        <w:br w:type="page"/>
      </w:r>
    </w:p>
    <w:p w14:paraId="7EA98AE4">
      <w:pPr>
        <w:spacing w:before="156" w:beforeLines="50" w:after="156" w:afterLines="50" w:line="560" w:lineRule="exact"/>
        <w:rPr>
          <w:rFonts w:ascii="仿宋_GB2312" w:hAnsi="宋体" w:eastAsia="仿宋_GB2312" w:cs="仿宋_GB2312"/>
          <w:bCs/>
          <w:color w:val="auto"/>
          <w:sz w:val="32"/>
          <w:szCs w:val="32"/>
          <w:highlight w:val="none"/>
          <w:lang w:bidi="ar"/>
        </w:rPr>
      </w:pPr>
      <w:r>
        <w:rPr>
          <w:rFonts w:hint="eastAsia" w:ascii="仿宋_GB2312" w:hAnsi="宋体" w:eastAsia="仿宋_GB2312" w:cs="仿宋_GB2312"/>
          <w:bCs/>
          <w:color w:val="auto"/>
          <w:sz w:val="32"/>
          <w:szCs w:val="32"/>
          <w:highlight w:val="none"/>
          <w:lang w:bidi="ar"/>
        </w:rPr>
        <w:t>附件：投标文件格式要求及评分标准</w:t>
      </w:r>
    </w:p>
    <w:p w14:paraId="4E67DD3E">
      <w:pPr>
        <w:spacing w:before="156" w:beforeLines="50" w:after="156" w:afterLines="50" w:line="560" w:lineRule="exact"/>
        <w:jc w:val="center"/>
        <w:rPr>
          <w:rFonts w:ascii="仿宋_GB2312" w:hAnsi="宋体" w:eastAsia="仿宋_GB2312"/>
          <w:b/>
          <w:color w:val="auto"/>
          <w:sz w:val="44"/>
          <w:szCs w:val="44"/>
          <w:highlight w:val="none"/>
        </w:rPr>
      </w:pPr>
      <w:r>
        <w:rPr>
          <w:rFonts w:hint="eastAsia" w:ascii="仿宋_GB2312" w:hAnsi="宋体" w:eastAsia="仿宋_GB2312" w:cs="仿宋_GB2312"/>
          <w:b/>
          <w:color w:val="auto"/>
          <w:sz w:val="44"/>
          <w:szCs w:val="44"/>
          <w:highlight w:val="none"/>
          <w:lang w:bidi="ar"/>
        </w:rPr>
        <w:t>报价函</w:t>
      </w:r>
    </w:p>
    <w:p w14:paraId="519B462A">
      <w:pPr>
        <w:spacing w:before="156" w:beforeLines="50" w:after="156" w:afterLines="50" w:line="560" w:lineRule="exact"/>
        <w:ind w:firstLine="883" w:firstLineChars="200"/>
        <w:jc w:val="center"/>
        <w:rPr>
          <w:rFonts w:ascii="仿宋_GB2312" w:hAnsi="宋体" w:eastAsia="仿宋_GB2312"/>
          <w:b/>
          <w:color w:val="auto"/>
          <w:sz w:val="44"/>
          <w:szCs w:val="44"/>
          <w:highlight w:val="none"/>
        </w:rPr>
      </w:pPr>
      <w:r>
        <w:rPr>
          <w:rFonts w:hint="eastAsia" w:ascii="仿宋_GB2312" w:hAnsi="宋体" w:eastAsia="仿宋_GB2312"/>
          <w:b/>
          <w:color w:val="auto"/>
          <w:sz w:val="44"/>
          <w:szCs w:val="44"/>
          <w:highlight w:val="none"/>
          <w:lang w:bidi="ar"/>
        </w:rPr>
        <w:t xml:space="preserve"> </w:t>
      </w:r>
    </w:p>
    <w:p w14:paraId="37CE8A63">
      <w:pPr>
        <w:pStyle w:val="8"/>
        <w:widowControl/>
        <w:spacing w:line="360" w:lineRule="auto"/>
        <w:ind w:firstLine="480"/>
        <w:rPr>
          <w:rFonts w:hint="default" w:hAnsi="宋体" w:eastAsia="宋体" w:cs="宋体"/>
          <w:color w:val="auto"/>
          <w:sz w:val="24"/>
          <w:highlight w:val="none"/>
        </w:rPr>
      </w:pPr>
      <w:r>
        <w:rPr>
          <w:rFonts w:hAnsi="宋体" w:eastAsia="宋体" w:cs="宋体"/>
          <w:color w:val="auto"/>
          <w:sz w:val="24"/>
          <w:highlight w:val="none"/>
        </w:rPr>
        <w:t>致：</w:t>
      </w:r>
      <w:r>
        <w:rPr>
          <w:rFonts w:hAnsi="宋体" w:eastAsia="宋体" w:cs="宋体"/>
          <w:color w:val="auto"/>
          <w:sz w:val="24"/>
          <w:highlight w:val="none"/>
          <w:u w:val="single"/>
        </w:rPr>
        <w:t xml:space="preserve">                      </w:t>
      </w:r>
      <w:r>
        <w:rPr>
          <w:rFonts w:hAnsi="宋体" w:eastAsia="宋体" w:cs="宋体"/>
          <w:color w:val="auto"/>
          <w:sz w:val="24"/>
          <w:highlight w:val="none"/>
        </w:rPr>
        <w:t>（采购人）</w:t>
      </w:r>
    </w:p>
    <w:p w14:paraId="0B9C9142">
      <w:pPr>
        <w:spacing w:line="560" w:lineRule="exact"/>
        <w:ind w:firstLine="480" w:firstLineChars="200"/>
        <w:jc w:val="left"/>
        <w:rPr>
          <w:rFonts w:ascii="Times New Roman" w:hAnsi="Times New Roman"/>
          <w:color w:val="auto"/>
          <w:sz w:val="24"/>
          <w:highlight w:val="none"/>
        </w:rPr>
      </w:pPr>
      <w:r>
        <w:rPr>
          <w:rFonts w:hint="eastAsia" w:ascii="宋体" w:hAnsi="宋体" w:cs="宋体"/>
          <w:color w:val="auto"/>
          <w:sz w:val="24"/>
          <w:highlight w:val="none"/>
          <w:lang w:bidi="ar"/>
        </w:rPr>
        <w:t>根据贵方</w:t>
      </w:r>
      <w:r>
        <w:rPr>
          <w:rFonts w:hint="eastAsia" w:ascii="宋体" w:hAnsi="宋体" w:cs="宋体"/>
          <w:color w:val="auto"/>
          <w:sz w:val="24"/>
          <w:highlight w:val="none"/>
          <w:u w:val="single"/>
          <w:lang w:bidi="ar"/>
        </w:rPr>
        <w:t>（项目名称）</w:t>
      </w:r>
      <w:r>
        <w:rPr>
          <w:rFonts w:hint="eastAsia" w:ascii="Times New Roman" w:hAnsi="Times New Roman" w:eastAsia="仿宋"/>
          <w:color w:val="auto"/>
          <w:sz w:val="24"/>
          <w:highlight w:val="none"/>
          <w:u w:val="single"/>
          <w:lang w:bidi="ar"/>
        </w:rPr>
        <w:t xml:space="preserve">               </w:t>
      </w:r>
      <w:r>
        <w:rPr>
          <w:rFonts w:hint="eastAsia" w:ascii="宋体" w:hAnsi="宋体" w:cs="宋体"/>
          <w:color w:val="auto"/>
          <w:sz w:val="24"/>
          <w:highlight w:val="none"/>
          <w:lang w:bidi="ar"/>
        </w:rPr>
        <w:t>项目采购的邀请，正式授权下述签字人</w:t>
      </w:r>
      <w:r>
        <w:rPr>
          <w:rFonts w:hint="eastAsia" w:ascii="Times New Roman" w:hAnsi="Times New Roman" w:eastAsia="仿宋"/>
          <w:color w:val="auto"/>
          <w:sz w:val="24"/>
          <w:highlight w:val="none"/>
          <w:u w:val="single"/>
          <w:lang w:bidi="ar"/>
        </w:rPr>
        <w:t xml:space="preserve">   </w:t>
      </w:r>
      <w:r>
        <w:rPr>
          <w:rFonts w:hint="eastAsia" w:ascii="宋体" w:hAnsi="宋体" w:cs="宋体"/>
          <w:color w:val="auto"/>
          <w:sz w:val="24"/>
          <w:highlight w:val="none"/>
          <w:u w:val="single"/>
          <w:lang w:bidi="ar"/>
        </w:rPr>
        <w:t>（姓名和职务）</w:t>
      </w:r>
      <w:r>
        <w:rPr>
          <w:rFonts w:hint="eastAsia" w:ascii="Times New Roman" w:hAnsi="Times New Roman" w:eastAsia="仿宋"/>
          <w:color w:val="auto"/>
          <w:sz w:val="24"/>
          <w:highlight w:val="none"/>
          <w:u w:val="single"/>
          <w:lang w:bidi="ar"/>
        </w:rPr>
        <w:t xml:space="preserve">     </w:t>
      </w:r>
      <w:r>
        <w:rPr>
          <w:rFonts w:hint="eastAsia" w:ascii="宋体" w:hAnsi="宋体" w:cs="宋体"/>
          <w:color w:val="auto"/>
          <w:sz w:val="24"/>
          <w:highlight w:val="none"/>
          <w:lang w:bidi="ar"/>
        </w:rPr>
        <w:t>全权代表竞标供应商</w:t>
      </w:r>
      <w:r>
        <w:rPr>
          <w:rFonts w:hint="eastAsia" w:ascii="Times New Roman" w:hAnsi="Times New Roman" w:eastAsia="仿宋"/>
          <w:color w:val="auto"/>
          <w:sz w:val="24"/>
          <w:highlight w:val="none"/>
          <w:u w:val="single"/>
          <w:lang w:bidi="ar"/>
        </w:rPr>
        <w:t xml:space="preserve">  </w:t>
      </w:r>
      <w:r>
        <w:rPr>
          <w:rFonts w:hint="eastAsia" w:ascii="宋体" w:hAnsi="宋体" w:cs="宋体"/>
          <w:color w:val="auto"/>
          <w:sz w:val="24"/>
          <w:highlight w:val="none"/>
          <w:u w:val="single"/>
          <w:lang w:bidi="ar"/>
        </w:rPr>
        <w:t>（供应商名称、地址）</w:t>
      </w:r>
      <w:r>
        <w:rPr>
          <w:rFonts w:hint="eastAsia" w:ascii="Times New Roman" w:hAnsi="Times New Roman" w:eastAsia="仿宋"/>
          <w:color w:val="auto"/>
          <w:sz w:val="24"/>
          <w:highlight w:val="none"/>
          <w:u w:val="single"/>
          <w:lang w:bidi="ar"/>
        </w:rPr>
        <w:t xml:space="preserve">   </w:t>
      </w:r>
      <w:r>
        <w:rPr>
          <w:rFonts w:hint="eastAsia" w:ascii="宋体" w:hAnsi="宋体" w:cs="宋体"/>
          <w:color w:val="auto"/>
          <w:sz w:val="24"/>
          <w:highlight w:val="none"/>
          <w:lang w:bidi="ar"/>
        </w:rPr>
        <w:t>参加贵方组织的有关采购活动。</w:t>
      </w:r>
    </w:p>
    <w:p w14:paraId="3A77FC74">
      <w:pPr>
        <w:spacing w:line="560" w:lineRule="exact"/>
        <w:ind w:firstLine="480" w:firstLineChars="200"/>
        <w:jc w:val="left"/>
        <w:rPr>
          <w:rFonts w:ascii="Times New Roman" w:hAnsi="Times New Roman"/>
          <w:color w:val="auto"/>
          <w:sz w:val="24"/>
          <w:highlight w:val="none"/>
        </w:rPr>
      </w:pPr>
      <w:r>
        <w:rPr>
          <w:rFonts w:ascii="Times New Roman" w:hAnsi="Times New Roman"/>
          <w:color w:val="auto"/>
          <w:sz w:val="24"/>
          <w:highlight w:val="none"/>
          <w:lang w:bidi="ar"/>
        </w:rPr>
        <w:t>1.</w:t>
      </w:r>
      <w:r>
        <w:rPr>
          <w:rFonts w:hint="eastAsia" w:ascii="宋体" w:hAnsi="宋体" w:cs="宋体"/>
          <w:color w:val="auto"/>
          <w:sz w:val="24"/>
          <w:highlight w:val="none"/>
          <w:lang w:bidi="ar"/>
        </w:rPr>
        <w:t>提供采购文件规定的全部响应文件；</w:t>
      </w:r>
    </w:p>
    <w:p w14:paraId="78DCE6A5">
      <w:pPr>
        <w:spacing w:line="560" w:lineRule="exact"/>
        <w:ind w:firstLine="480" w:firstLineChars="200"/>
        <w:jc w:val="left"/>
        <w:rPr>
          <w:rFonts w:ascii="Times New Roman" w:hAnsi="Times New Roman"/>
          <w:color w:val="auto"/>
          <w:sz w:val="24"/>
          <w:highlight w:val="none"/>
        </w:rPr>
      </w:pPr>
      <w:r>
        <w:rPr>
          <w:rFonts w:ascii="Times New Roman" w:hAnsi="Times New Roman"/>
          <w:color w:val="auto"/>
          <w:sz w:val="24"/>
          <w:highlight w:val="none"/>
          <w:lang w:bidi="ar"/>
        </w:rPr>
        <w:t>2.</w:t>
      </w:r>
      <w:r>
        <w:rPr>
          <w:rFonts w:hint="eastAsia" w:ascii="宋体" w:hAnsi="宋体" w:cs="宋体"/>
          <w:color w:val="auto"/>
          <w:sz w:val="24"/>
          <w:highlight w:val="none"/>
          <w:lang w:bidi="ar"/>
        </w:rPr>
        <w:t>报价为（固定总价）      万元。</w:t>
      </w:r>
    </w:p>
    <w:p w14:paraId="5C0BB3CC">
      <w:pPr>
        <w:spacing w:line="560" w:lineRule="exact"/>
        <w:ind w:firstLine="480" w:firstLineChars="200"/>
        <w:jc w:val="left"/>
        <w:rPr>
          <w:rFonts w:ascii="Times New Roman" w:hAnsi="Times New Roman"/>
          <w:color w:val="auto"/>
          <w:sz w:val="24"/>
          <w:highlight w:val="none"/>
        </w:rPr>
      </w:pPr>
      <w:r>
        <w:rPr>
          <w:rFonts w:hint="eastAsia" w:ascii="宋体" w:hAnsi="宋体" w:cs="宋体"/>
          <w:color w:val="auto"/>
          <w:sz w:val="24"/>
          <w:highlight w:val="none"/>
          <w:lang w:bidi="ar"/>
        </w:rPr>
        <w:t>在此，授权代表宣布同意如下：</w:t>
      </w:r>
    </w:p>
    <w:p w14:paraId="133F7B11">
      <w:pPr>
        <w:spacing w:line="560" w:lineRule="exact"/>
        <w:ind w:firstLine="480" w:firstLineChars="200"/>
        <w:jc w:val="left"/>
        <w:rPr>
          <w:rFonts w:ascii="Times New Roman" w:hAnsi="Times New Roman"/>
          <w:color w:val="auto"/>
          <w:sz w:val="24"/>
          <w:highlight w:val="none"/>
        </w:rPr>
      </w:pPr>
      <w:r>
        <w:rPr>
          <w:rFonts w:ascii="Times New Roman" w:hAnsi="Times New Roman"/>
          <w:color w:val="auto"/>
          <w:sz w:val="24"/>
          <w:highlight w:val="none"/>
          <w:lang w:bidi="ar"/>
        </w:rPr>
        <w:t xml:space="preserve">1. </w:t>
      </w:r>
      <w:r>
        <w:rPr>
          <w:rFonts w:hint="eastAsia" w:ascii="宋体" w:hAnsi="宋体" w:cs="宋体"/>
          <w:color w:val="auto"/>
          <w:sz w:val="24"/>
          <w:highlight w:val="none"/>
          <w:lang w:bidi="ar"/>
        </w:rPr>
        <w:t>将按采购文件的约定履行合同责任和义务；</w:t>
      </w:r>
    </w:p>
    <w:p w14:paraId="0EF3D2F2">
      <w:pPr>
        <w:spacing w:line="560" w:lineRule="exact"/>
        <w:ind w:firstLine="480" w:firstLineChars="200"/>
        <w:jc w:val="left"/>
        <w:rPr>
          <w:rFonts w:ascii="Times New Roman" w:hAnsi="Times New Roman"/>
          <w:color w:val="auto"/>
          <w:sz w:val="24"/>
          <w:highlight w:val="none"/>
        </w:rPr>
      </w:pPr>
      <w:r>
        <w:rPr>
          <w:rFonts w:ascii="Times New Roman" w:hAnsi="Times New Roman"/>
          <w:color w:val="auto"/>
          <w:sz w:val="24"/>
          <w:highlight w:val="none"/>
          <w:lang w:bidi="ar"/>
        </w:rPr>
        <w:t xml:space="preserve">2. </w:t>
      </w:r>
      <w:r>
        <w:rPr>
          <w:rFonts w:hint="eastAsia" w:ascii="宋体" w:hAnsi="宋体" w:cs="宋体"/>
          <w:color w:val="auto"/>
          <w:sz w:val="24"/>
          <w:highlight w:val="none"/>
          <w:lang w:bidi="ar"/>
        </w:rPr>
        <w:t>已详细审查全部采购文件，包括（补遗书）（如果有的话）；我们完全理解并同意放弃对这方面有不明及误解的权力；</w:t>
      </w:r>
    </w:p>
    <w:p w14:paraId="33A7B472">
      <w:pPr>
        <w:spacing w:line="560" w:lineRule="exact"/>
        <w:ind w:firstLine="480" w:firstLineChars="200"/>
        <w:jc w:val="left"/>
        <w:rPr>
          <w:rFonts w:ascii="Times New Roman" w:hAnsi="Times New Roman"/>
          <w:color w:val="auto"/>
          <w:sz w:val="24"/>
          <w:highlight w:val="none"/>
        </w:rPr>
      </w:pPr>
      <w:r>
        <w:rPr>
          <w:rFonts w:ascii="Times New Roman" w:hAnsi="Times New Roman"/>
          <w:color w:val="auto"/>
          <w:sz w:val="24"/>
          <w:highlight w:val="none"/>
          <w:lang w:bidi="ar"/>
        </w:rPr>
        <w:t xml:space="preserve">3. </w:t>
      </w:r>
      <w:r>
        <w:rPr>
          <w:rFonts w:hint="eastAsia" w:ascii="宋体" w:hAnsi="宋体" w:cs="宋体"/>
          <w:color w:val="auto"/>
          <w:sz w:val="24"/>
          <w:highlight w:val="none"/>
          <w:lang w:bidi="ar"/>
        </w:rPr>
        <w:t xml:space="preserve">愿意向贵方提供任何与该项采购有关的数据、情况和技术资料。  </w:t>
      </w:r>
    </w:p>
    <w:p w14:paraId="3367D086">
      <w:pPr>
        <w:spacing w:line="560" w:lineRule="exact"/>
        <w:ind w:firstLine="480" w:firstLineChars="200"/>
        <w:jc w:val="left"/>
        <w:rPr>
          <w:rFonts w:ascii="Times New Roman" w:hAnsi="Times New Roman"/>
          <w:color w:val="auto"/>
          <w:sz w:val="24"/>
          <w:highlight w:val="none"/>
        </w:rPr>
      </w:pPr>
      <w:r>
        <w:rPr>
          <w:rFonts w:hint="eastAsia" w:ascii="Times New Roman" w:hAnsi="Times New Roman"/>
          <w:color w:val="auto"/>
          <w:sz w:val="24"/>
          <w:highlight w:val="none"/>
          <w:lang w:bidi="ar"/>
        </w:rPr>
        <w:t xml:space="preserve"> </w:t>
      </w:r>
    </w:p>
    <w:p w14:paraId="6A649895">
      <w:pPr>
        <w:pStyle w:val="8"/>
        <w:widowControl/>
        <w:spacing w:line="360" w:lineRule="auto"/>
        <w:ind w:firstLine="480"/>
        <w:rPr>
          <w:rFonts w:hint="default" w:hAnsi="宋体" w:eastAsia="宋体" w:cs="宋体"/>
          <w:color w:val="auto"/>
          <w:sz w:val="24"/>
          <w:highlight w:val="none"/>
        </w:rPr>
      </w:pPr>
      <w:r>
        <w:rPr>
          <w:rFonts w:hAnsi="宋体" w:eastAsia="宋体" w:cs="宋体"/>
          <w:color w:val="auto"/>
          <w:sz w:val="24"/>
          <w:highlight w:val="none"/>
        </w:rPr>
        <w:t>地址：</w:t>
      </w:r>
      <w:r>
        <w:rPr>
          <w:rFonts w:hAnsi="宋体" w:eastAsia="宋体" w:cs="宋体"/>
          <w:color w:val="auto"/>
          <w:sz w:val="24"/>
          <w:highlight w:val="none"/>
          <w:u w:val="single"/>
        </w:rPr>
        <w:t xml:space="preserve">                    </w:t>
      </w:r>
      <w:r>
        <w:rPr>
          <w:rFonts w:hAnsi="宋体" w:eastAsia="宋体" w:cs="宋体"/>
          <w:color w:val="auto"/>
          <w:sz w:val="24"/>
          <w:highlight w:val="none"/>
        </w:rPr>
        <w:t>邮政编码：</w:t>
      </w:r>
      <w:r>
        <w:rPr>
          <w:rFonts w:hAnsi="宋体" w:eastAsia="宋体" w:cs="宋体"/>
          <w:color w:val="auto"/>
          <w:sz w:val="24"/>
          <w:highlight w:val="none"/>
          <w:u w:val="single"/>
        </w:rPr>
        <w:t xml:space="preserve">             </w:t>
      </w:r>
    </w:p>
    <w:p w14:paraId="19D1F1CA">
      <w:pPr>
        <w:pStyle w:val="8"/>
        <w:widowControl/>
        <w:spacing w:line="360" w:lineRule="auto"/>
        <w:ind w:firstLine="480"/>
        <w:rPr>
          <w:rFonts w:hint="default" w:hAnsi="宋体" w:eastAsia="宋体" w:cs="宋体"/>
          <w:color w:val="auto"/>
          <w:sz w:val="24"/>
          <w:highlight w:val="none"/>
        </w:rPr>
      </w:pPr>
      <w:r>
        <w:rPr>
          <w:rFonts w:hAnsi="宋体" w:eastAsia="宋体" w:cs="宋体"/>
          <w:color w:val="auto"/>
          <w:sz w:val="24"/>
          <w:highlight w:val="none"/>
        </w:rPr>
        <w:t>电话：</w:t>
      </w:r>
      <w:r>
        <w:rPr>
          <w:rFonts w:hAnsi="宋体" w:eastAsia="宋体" w:cs="宋体"/>
          <w:color w:val="auto"/>
          <w:sz w:val="24"/>
          <w:highlight w:val="none"/>
          <w:u w:val="single"/>
        </w:rPr>
        <w:t xml:space="preserve">                    </w:t>
      </w:r>
      <w:r>
        <w:rPr>
          <w:rFonts w:hAnsi="宋体" w:eastAsia="宋体" w:cs="宋体"/>
          <w:color w:val="auto"/>
          <w:sz w:val="24"/>
          <w:highlight w:val="none"/>
        </w:rPr>
        <w:t>传真：</w:t>
      </w:r>
      <w:r>
        <w:rPr>
          <w:rFonts w:hAnsi="宋体" w:eastAsia="宋体" w:cs="宋体"/>
          <w:color w:val="auto"/>
          <w:sz w:val="24"/>
          <w:highlight w:val="none"/>
          <w:u w:val="single"/>
        </w:rPr>
        <w:t xml:space="preserve">         </w:t>
      </w:r>
    </w:p>
    <w:p w14:paraId="77294F18">
      <w:pPr>
        <w:pStyle w:val="8"/>
        <w:widowControl/>
        <w:spacing w:line="360" w:lineRule="auto"/>
        <w:ind w:firstLine="480"/>
        <w:rPr>
          <w:rFonts w:hint="default" w:hAnsi="宋体" w:eastAsia="宋体" w:cs="宋体"/>
          <w:color w:val="auto"/>
          <w:sz w:val="24"/>
          <w:highlight w:val="none"/>
          <w:u w:val="single"/>
        </w:rPr>
      </w:pPr>
      <w:r>
        <w:rPr>
          <w:rFonts w:hAnsi="宋体" w:eastAsia="宋体" w:cs="宋体"/>
          <w:color w:val="auto"/>
          <w:sz w:val="24"/>
          <w:highlight w:val="none"/>
        </w:rPr>
        <w:t>开户名称：</w:t>
      </w:r>
      <w:r>
        <w:rPr>
          <w:rFonts w:hAnsi="宋体" w:eastAsia="宋体" w:cs="宋体"/>
          <w:color w:val="auto"/>
          <w:sz w:val="24"/>
          <w:highlight w:val="none"/>
          <w:u w:val="single"/>
        </w:rPr>
        <w:t xml:space="preserve">                                                    </w:t>
      </w:r>
    </w:p>
    <w:p w14:paraId="41A51A5B">
      <w:pPr>
        <w:pStyle w:val="8"/>
        <w:widowControl/>
        <w:spacing w:line="360" w:lineRule="auto"/>
        <w:ind w:firstLine="480"/>
        <w:rPr>
          <w:rFonts w:hint="default" w:hAnsi="宋体" w:eastAsia="宋体" w:cs="宋体"/>
          <w:color w:val="auto"/>
          <w:sz w:val="24"/>
          <w:highlight w:val="none"/>
          <w:u w:val="single"/>
        </w:rPr>
      </w:pPr>
      <w:r>
        <w:rPr>
          <w:rFonts w:hAnsi="宋体" w:eastAsia="宋体" w:cs="宋体"/>
          <w:color w:val="auto"/>
          <w:sz w:val="24"/>
          <w:highlight w:val="none"/>
        </w:rPr>
        <w:t>开户银行：</w:t>
      </w:r>
      <w:r>
        <w:rPr>
          <w:rFonts w:hAnsi="宋体" w:eastAsia="宋体" w:cs="宋体"/>
          <w:color w:val="auto"/>
          <w:sz w:val="24"/>
          <w:highlight w:val="none"/>
          <w:u w:val="single"/>
        </w:rPr>
        <w:t xml:space="preserve">                                                    </w:t>
      </w:r>
    </w:p>
    <w:p w14:paraId="02286F0A">
      <w:pPr>
        <w:pStyle w:val="8"/>
        <w:widowControl/>
        <w:spacing w:line="360" w:lineRule="auto"/>
        <w:ind w:firstLine="480"/>
        <w:rPr>
          <w:rFonts w:hint="default" w:hAnsi="宋体" w:eastAsia="宋体" w:cs="宋体"/>
          <w:color w:val="auto"/>
          <w:sz w:val="24"/>
          <w:highlight w:val="none"/>
          <w:u w:val="single"/>
        </w:rPr>
      </w:pPr>
      <w:r>
        <w:rPr>
          <w:rFonts w:hAnsi="宋体" w:eastAsia="宋体" w:cs="宋体"/>
          <w:color w:val="auto"/>
          <w:sz w:val="24"/>
          <w:highlight w:val="none"/>
        </w:rPr>
        <w:t>帐    号：</w:t>
      </w:r>
      <w:r>
        <w:rPr>
          <w:rFonts w:hAnsi="宋体" w:eastAsia="宋体" w:cs="宋体"/>
          <w:color w:val="auto"/>
          <w:sz w:val="24"/>
          <w:highlight w:val="none"/>
          <w:u w:val="single"/>
        </w:rPr>
        <w:t xml:space="preserve">                                                    </w:t>
      </w:r>
    </w:p>
    <w:p w14:paraId="19B8E39D">
      <w:pPr>
        <w:pStyle w:val="8"/>
        <w:widowControl/>
        <w:spacing w:line="360" w:lineRule="auto"/>
        <w:ind w:firstLine="480"/>
        <w:rPr>
          <w:rFonts w:hint="default" w:hAnsi="宋体" w:eastAsia="宋体" w:cs="宋体"/>
          <w:color w:val="auto"/>
          <w:sz w:val="24"/>
          <w:highlight w:val="none"/>
        </w:rPr>
      </w:pPr>
      <w:r>
        <w:rPr>
          <w:rFonts w:hAnsi="宋体" w:eastAsia="宋体" w:cs="宋体"/>
          <w:color w:val="auto"/>
          <w:sz w:val="24"/>
          <w:highlight w:val="none"/>
        </w:rPr>
        <w:t>法定代表人或其委托代理人签字：</w:t>
      </w:r>
      <w:r>
        <w:rPr>
          <w:rFonts w:hAnsi="宋体" w:eastAsia="宋体" w:cs="宋体"/>
          <w:color w:val="auto"/>
          <w:sz w:val="24"/>
          <w:highlight w:val="none"/>
          <w:u w:val="single"/>
        </w:rPr>
        <w:t xml:space="preserve">                       </w:t>
      </w:r>
    </w:p>
    <w:p w14:paraId="51BAA87D">
      <w:pPr>
        <w:pStyle w:val="8"/>
        <w:widowControl/>
        <w:spacing w:line="360" w:lineRule="auto"/>
        <w:ind w:firstLine="480"/>
        <w:rPr>
          <w:rFonts w:hint="default" w:hAnsi="宋体" w:eastAsia="宋体" w:cs="宋体"/>
          <w:color w:val="auto"/>
          <w:sz w:val="24"/>
          <w:highlight w:val="none"/>
          <w:u w:val="single"/>
        </w:rPr>
      </w:pPr>
      <w:r>
        <w:rPr>
          <w:rFonts w:hAnsi="宋体" w:eastAsia="宋体" w:cs="宋体"/>
          <w:color w:val="auto"/>
          <w:sz w:val="24"/>
          <w:highlight w:val="none"/>
        </w:rPr>
        <w:t>供应商名称（盖单位公章）：</w:t>
      </w:r>
      <w:r>
        <w:rPr>
          <w:rFonts w:hAnsi="宋体" w:eastAsia="宋体" w:cs="宋体"/>
          <w:color w:val="auto"/>
          <w:sz w:val="24"/>
          <w:highlight w:val="none"/>
          <w:u w:val="single"/>
        </w:rPr>
        <w:t xml:space="preserve">                                            </w:t>
      </w:r>
    </w:p>
    <w:p w14:paraId="434B74D5">
      <w:pPr>
        <w:pStyle w:val="8"/>
        <w:widowControl/>
        <w:spacing w:line="360" w:lineRule="auto"/>
        <w:ind w:firstLine="480"/>
        <w:rPr>
          <w:rFonts w:hint="default" w:hAnsi="宋体" w:eastAsia="宋体" w:cs="宋体"/>
          <w:color w:val="auto"/>
          <w:sz w:val="24"/>
          <w:highlight w:val="none"/>
          <w:u w:val="single"/>
        </w:rPr>
      </w:pPr>
      <w:r>
        <w:rPr>
          <w:rFonts w:hAnsi="宋体" w:eastAsia="宋体" w:cs="宋体"/>
          <w:color w:val="auto"/>
          <w:sz w:val="24"/>
          <w:highlight w:val="none"/>
        </w:rPr>
        <w:t>日期：</w:t>
      </w:r>
      <w:r>
        <w:rPr>
          <w:rFonts w:hAnsi="宋体" w:eastAsia="宋体" w:cs="宋体"/>
          <w:color w:val="auto"/>
          <w:sz w:val="24"/>
          <w:highlight w:val="none"/>
          <w:u w:val="single"/>
        </w:rPr>
        <w:t xml:space="preserve">      年   月    日</w:t>
      </w:r>
    </w:p>
    <w:p w14:paraId="7F271576">
      <w:pPr>
        <w:spacing w:line="578" w:lineRule="exact"/>
        <w:jc w:val="left"/>
        <w:rPr>
          <w:rFonts w:ascii="仿宋_GB2312" w:hAnsi="宋体" w:eastAsia="仿宋_GB2312"/>
          <w:color w:val="auto"/>
          <w:sz w:val="32"/>
          <w:szCs w:val="32"/>
          <w:highlight w:val="none"/>
          <w:lang w:bidi="ar"/>
        </w:rPr>
      </w:pPr>
      <w:r>
        <w:rPr>
          <w:rFonts w:hint="eastAsia" w:ascii="仿宋_GB2312" w:hAnsi="宋体" w:eastAsia="仿宋_GB2312"/>
          <w:color w:val="auto"/>
          <w:sz w:val="32"/>
          <w:szCs w:val="32"/>
          <w:highlight w:val="none"/>
          <w:lang w:bidi="ar"/>
        </w:rPr>
        <w:t xml:space="preserve"> </w:t>
      </w:r>
    </w:p>
    <w:p w14:paraId="293AA020">
      <w:pPr>
        <w:rPr>
          <w:rFonts w:ascii="仿宋_GB2312" w:hAnsi="宋体" w:eastAsia="仿宋_GB2312"/>
          <w:color w:val="auto"/>
          <w:sz w:val="32"/>
          <w:szCs w:val="32"/>
          <w:highlight w:val="none"/>
          <w:lang w:bidi="ar"/>
        </w:rPr>
      </w:pPr>
      <w:r>
        <w:rPr>
          <w:rFonts w:hint="eastAsia" w:ascii="仿宋_GB2312" w:hAnsi="宋体" w:eastAsia="仿宋_GB2312"/>
          <w:color w:val="auto"/>
          <w:sz w:val="32"/>
          <w:szCs w:val="32"/>
          <w:highlight w:val="none"/>
          <w:lang w:bidi="ar"/>
        </w:rPr>
        <w:br w:type="page"/>
      </w:r>
    </w:p>
    <w:p w14:paraId="765F4AA1">
      <w:pPr>
        <w:spacing w:before="156" w:beforeLines="50" w:after="156" w:afterLines="50" w:line="560" w:lineRule="exact"/>
        <w:jc w:val="center"/>
        <w:rPr>
          <w:rFonts w:ascii="仿宋_GB2312" w:hAnsi="宋体" w:eastAsia="仿宋_GB2312"/>
          <w:b/>
          <w:color w:val="auto"/>
          <w:sz w:val="44"/>
          <w:szCs w:val="44"/>
          <w:highlight w:val="none"/>
        </w:rPr>
      </w:pPr>
      <w:r>
        <w:rPr>
          <w:rFonts w:hint="eastAsia" w:ascii="仿宋_GB2312" w:hAnsi="宋体" w:eastAsia="仿宋_GB2312" w:cs="仿宋_GB2312"/>
          <w:b/>
          <w:color w:val="auto"/>
          <w:sz w:val="44"/>
          <w:szCs w:val="44"/>
          <w:highlight w:val="none"/>
          <w:lang w:bidi="ar"/>
        </w:rPr>
        <w:t>报价表</w:t>
      </w:r>
    </w:p>
    <w:p w14:paraId="40A4AA41">
      <w:pPr>
        <w:spacing w:before="156" w:beforeLines="50" w:after="156" w:afterLines="50" w:line="560" w:lineRule="exact"/>
        <w:ind w:firstLine="883" w:firstLineChars="200"/>
        <w:jc w:val="center"/>
        <w:rPr>
          <w:rFonts w:ascii="仿宋_GB2312" w:hAnsi="宋体" w:eastAsia="仿宋_GB2312"/>
          <w:b/>
          <w:color w:val="auto"/>
          <w:sz w:val="44"/>
          <w:szCs w:val="44"/>
          <w:highlight w:val="none"/>
        </w:rPr>
      </w:pPr>
      <w:r>
        <w:rPr>
          <w:rFonts w:hint="eastAsia" w:ascii="仿宋_GB2312" w:hAnsi="宋体" w:eastAsia="仿宋_GB2312"/>
          <w:b/>
          <w:color w:val="auto"/>
          <w:sz w:val="44"/>
          <w:szCs w:val="44"/>
          <w:highlight w:val="none"/>
          <w:lang w:bidi="ar"/>
        </w:rPr>
        <w:t xml:space="preserve"> </w:t>
      </w:r>
    </w:p>
    <w:tbl>
      <w:tblPr>
        <w:tblStyle w:val="15"/>
        <w:tblpPr w:leftFromText="180" w:rightFromText="180" w:vertAnchor="text" w:horzAnchor="page" w:tblpX="945" w:tblpY="447"/>
        <w:tblOverlap w:val="never"/>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936"/>
        <w:gridCol w:w="1134"/>
        <w:gridCol w:w="1276"/>
        <w:gridCol w:w="1701"/>
        <w:gridCol w:w="2047"/>
      </w:tblGrid>
      <w:tr w14:paraId="26A9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76A12AAB">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项号</w:t>
            </w:r>
          </w:p>
        </w:tc>
        <w:tc>
          <w:tcPr>
            <w:tcW w:w="2936" w:type="dxa"/>
            <w:tcBorders>
              <w:top w:val="single" w:color="auto" w:sz="4" w:space="0"/>
              <w:left w:val="nil"/>
              <w:bottom w:val="single" w:color="auto" w:sz="4" w:space="0"/>
              <w:right w:val="single" w:color="auto" w:sz="4" w:space="0"/>
            </w:tcBorders>
            <w:shd w:val="clear" w:color="auto" w:fill="auto"/>
            <w:vAlign w:val="center"/>
          </w:tcPr>
          <w:p w14:paraId="5B3CEEAA">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采购内容</w:t>
            </w:r>
          </w:p>
        </w:tc>
        <w:tc>
          <w:tcPr>
            <w:tcW w:w="1134" w:type="dxa"/>
            <w:tcBorders>
              <w:top w:val="single" w:color="auto" w:sz="4" w:space="0"/>
              <w:left w:val="nil"/>
              <w:bottom w:val="single" w:color="auto" w:sz="4" w:space="0"/>
              <w:right w:val="single" w:color="auto" w:sz="4" w:space="0"/>
            </w:tcBorders>
            <w:shd w:val="clear" w:color="auto" w:fill="auto"/>
            <w:vAlign w:val="center"/>
          </w:tcPr>
          <w:p w14:paraId="412F31B6">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数量</w:t>
            </w:r>
          </w:p>
          <w:p w14:paraId="3CAC9B0C">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①</w:t>
            </w:r>
          </w:p>
        </w:tc>
        <w:tc>
          <w:tcPr>
            <w:tcW w:w="1276" w:type="dxa"/>
            <w:tcBorders>
              <w:top w:val="single" w:color="auto" w:sz="4" w:space="0"/>
              <w:left w:val="nil"/>
              <w:bottom w:val="single" w:color="auto" w:sz="4" w:space="0"/>
              <w:right w:val="single" w:color="auto" w:sz="4" w:space="0"/>
            </w:tcBorders>
            <w:shd w:val="clear" w:color="auto" w:fill="auto"/>
            <w:vAlign w:val="center"/>
          </w:tcPr>
          <w:p w14:paraId="3ACF3B3C">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单价</w:t>
            </w:r>
          </w:p>
          <w:p w14:paraId="1CDD524E">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（元)</w:t>
            </w:r>
          </w:p>
          <w:p w14:paraId="107D7522">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②</w:t>
            </w:r>
          </w:p>
        </w:tc>
        <w:tc>
          <w:tcPr>
            <w:tcW w:w="1701" w:type="dxa"/>
            <w:tcBorders>
              <w:top w:val="single" w:color="auto" w:sz="4" w:space="0"/>
              <w:left w:val="nil"/>
              <w:bottom w:val="single" w:color="auto" w:sz="4" w:space="0"/>
              <w:right w:val="single" w:color="auto" w:sz="4" w:space="0"/>
            </w:tcBorders>
            <w:shd w:val="clear" w:color="auto" w:fill="auto"/>
            <w:vAlign w:val="center"/>
          </w:tcPr>
          <w:p w14:paraId="213D98AD">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单项合价</w:t>
            </w:r>
          </w:p>
          <w:p w14:paraId="2CB237D3">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（元）</w:t>
            </w:r>
          </w:p>
          <w:p w14:paraId="4461D00E">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③=①×②</w:t>
            </w:r>
          </w:p>
        </w:tc>
        <w:tc>
          <w:tcPr>
            <w:tcW w:w="2047" w:type="dxa"/>
            <w:tcBorders>
              <w:top w:val="single" w:color="auto" w:sz="4" w:space="0"/>
              <w:left w:val="nil"/>
              <w:bottom w:val="single" w:color="auto" w:sz="4" w:space="0"/>
              <w:right w:val="single" w:color="auto" w:sz="4" w:space="0"/>
            </w:tcBorders>
            <w:shd w:val="clear" w:color="auto" w:fill="auto"/>
            <w:vAlign w:val="center"/>
          </w:tcPr>
          <w:p w14:paraId="7FE62F8B">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备注</w:t>
            </w:r>
          </w:p>
        </w:tc>
      </w:tr>
      <w:tr w14:paraId="15AF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31F6F9DF">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1</w:t>
            </w:r>
          </w:p>
        </w:tc>
        <w:tc>
          <w:tcPr>
            <w:tcW w:w="2936" w:type="dxa"/>
            <w:tcBorders>
              <w:top w:val="single" w:color="auto" w:sz="4" w:space="0"/>
              <w:left w:val="nil"/>
              <w:bottom w:val="single" w:color="auto" w:sz="4" w:space="0"/>
              <w:right w:val="single" w:color="auto" w:sz="4" w:space="0"/>
            </w:tcBorders>
            <w:shd w:val="clear" w:color="auto" w:fill="auto"/>
            <w:vAlign w:val="center"/>
          </w:tcPr>
          <w:p w14:paraId="2BDA4CE1">
            <w:pPr>
              <w:spacing w:line="560" w:lineRule="exact"/>
              <w:jc w:val="center"/>
              <w:rPr>
                <w:rFonts w:ascii="仿宋_GB2312" w:hAnsi="仿宋" w:eastAsia="仿宋_GB2312"/>
                <w:color w:val="auto"/>
                <w:sz w:val="28"/>
                <w:szCs w:val="2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2361EE10">
            <w:pPr>
              <w:spacing w:line="560" w:lineRule="exact"/>
              <w:rPr>
                <w:rFonts w:ascii="仿宋_GB2312" w:hAnsi="仿宋" w:eastAsia="仿宋_GB2312"/>
                <w:color w:val="auto"/>
                <w:sz w:val="28"/>
                <w:szCs w:val="28"/>
                <w:highlight w:val="none"/>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346DF507">
            <w:pPr>
              <w:spacing w:line="560" w:lineRule="exact"/>
              <w:rPr>
                <w:rFonts w:ascii="仿宋_GB2312" w:hAnsi="仿宋" w:eastAsia="仿宋_GB2312"/>
                <w:color w:val="auto"/>
                <w:sz w:val="28"/>
                <w:szCs w:val="28"/>
                <w:highlight w:val="none"/>
              </w:rPr>
            </w:pPr>
          </w:p>
        </w:tc>
        <w:tc>
          <w:tcPr>
            <w:tcW w:w="1701" w:type="dxa"/>
            <w:tcBorders>
              <w:top w:val="single" w:color="auto" w:sz="4" w:space="0"/>
              <w:left w:val="nil"/>
              <w:bottom w:val="single" w:color="auto" w:sz="4" w:space="0"/>
              <w:right w:val="single" w:color="auto" w:sz="4" w:space="0"/>
            </w:tcBorders>
            <w:shd w:val="clear" w:color="auto" w:fill="auto"/>
            <w:vAlign w:val="center"/>
          </w:tcPr>
          <w:p w14:paraId="77A5C901">
            <w:pPr>
              <w:spacing w:line="560" w:lineRule="exact"/>
              <w:rPr>
                <w:rFonts w:ascii="仿宋_GB2312" w:hAnsi="仿宋" w:eastAsia="仿宋_GB2312"/>
                <w:color w:val="auto"/>
                <w:sz w:val="28"/>
                <w:szCs w:val="28"/>
                <w:highlight w:val="none"/>
              </w:rPr>
            </w:pPr>
          </w:p>
        </w:tc>
        <w:tc>
          <w:tcPr>
            <w:tcW w:w="2047" w:type="dxa"/>
            <w:tcBorders>
              <w:top w:val="single" w:color="auto" w:sz="4" w:space="0"/>
              <w:left w:val="nil"/>
              <w:bottom w:val="single" w:color="auto" w:sz="4" w:space="0"/>
              <w:right w:val="single" w:color="auto" w:sz="4" w:space="0"/>
            </w:tcBorders>
            <w:shd w:val="clear" w:color="auto" w:fill="auto"/>
            <w:vAlign w:val="center"/>
          </w:tcPr>
          <w:p w14:paraId="6CD8A22D">
            <w:pPr>
              <w:spacing w:line="560" w:lineRule="exact"/>
              <w:rPr>
                <w:rFonts w:ascii="仿宋_GB2312" w:hAnsi="仿宋" w:eastAsia="仿宋_GB2312"/>
                <w:color w:val="auto"/>
                <w:sz w:val="28"/>
                <w:szCs w:val="28"/>
                <w:highlight w:val="none"/>
              </w:rPr>
            </w:pPr>
          </w:p>
        </w:tc>
      </w:tr>
      <w:tr w14:paraId="173C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75DCC80B">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2</w:t>
            </w:r>
          </w:p>
        </w:tc>
        <w:tc>
          <w:tcPr>
            <w:tcW w:w="2936" w:type="dxa"/>
            <w:tcBorders>
              <w:top w:val="single" w:color="auto" w:sz="4" w:space="0"/>
              <w:left w:val="nil"/>
              <w:bottom w:val="single" w:color="auto" w:sz="4" w:space="0"/>
              <w:right w:val="single" w:color="auto" w:sz="4" w:space="0"/>
            </w:tcBorders>
            <w:shd w:val="clear" w:color="auto" w:fill="auto"/>
            <w:vAlign w:val="center"/>
          </w:tcPr>
          <w:p w14:paraId="059CE855">
            <w:pPr>
              <w:spacing w:line="560" w:lineRule="exact"/>
              <w:jc w:val="center"/>
              <w:rPr>
                <w:rFonts w:ascii="仿宋_GB2312" w:hAnsi="仿宋" w:eastAsia="仿宋_GB2312"/>
                <w:color w:val="auto"/>
                <w:sz w:val="28"/>
                <w:szCs w:val="2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3504009F">
            <w:pPr>
              <w:spacing w:line="560" w:lineRule="exact"/>
              <w:rPr>
                <w:rFonts w:ascii="仿宋_GB2312" w:hAnsi="仿宋" w:eastAsia="仿宋_GB2312"/>
                <w:color w:val="auto"/>
                <w:sz w:val="28"/>
                <w:szCs w:val="28"/>
                <w:highlight w:val="none"/>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0B4EF34B">
            <w:pPr>
              <w:spacing w:line="560" w:lineRule="exact"/>
              <w:rPr>
                <w:rFonts w:ascii="仿宋_GB2312" w:hAnsi="仿宋" w:eastAsia="仿宋_GB2312"/>
                <w:color w:val="auto"/>
                <w:sz w:val="28"/>
                <w:szCs w:val="28"/>
                <w:highlight w:val="none"/>
              </w:rPr>
            </w:pPr>
          </w:p>
        </w:tc>
        <w:tc>
          <w:tcPr>
            <w:tcW w:w="1701" w:type="dxa"/>
            <w:tcBorders>
              <w:top w:val="single" w:color="auto" w:sz="4" w:space="0"/>
              <w:left w:val="nil"/>
              <w:bottom w:val="single" w:color="auto" w:sz="4" w:space="0"/>
              <w:right w:val="single" w:color="auto" w:sz="4" w:space="0"/>
            </w:tcBorders>
            <w:shd w:val="clear" w:color="auto" w:fill="auto"/>
            <w:vAlign w:val="center"/>
          </w:tcPr>
          <w:p w14:paraId="66A41BFE">
            <w:pPr>
              <w:spacing w:line="560" w:lineRule="exact"/>
              <w:rPr>
                <w:rFonts w:ascii="仿宋_GB2312" w:hAnsi="仿宋" w:eastAsia="仿宋_GB2312"/>
                <w:color w:val="auto"/>
                <w:sz w:val="28"/>
                <w:szCs w:val="28"/>
                <w:highlight w:val="none"/>
              </w:rPr>
            </w:pPr>
          </w:p>
        </w:tc>
        <w:tc>
          <w:tcPr>
            <w:tcW w:w="2047" w:type="dxa"/>
            <w:tcBorders>
              <w:top w:val="single" w:color="auto" w:sz="4" w:space="0"/>
              <w:left w:val="nil"/>
              <w:bottom w:val="single" w:color="auto" w:sz="4" w:space="0"/>
              <w:right w:val="single" w:color="auto" w:sz="4" w:space="0"/>
            </w:tcBorders>
            <w:shd w:val="clear" w:color="auto" w:fill="auto"/>
            <w:vAlign w:val="center"/>
          </w:tcPr>
          <w:p w14:paraId="4930F395">
            <w:pPr>
              <w:spacing w:line="560" w:lineRule="exact"/>
              <w:rPr>
                <w:rFonts w:ascii="仿宋_GB2312" w:hAnsi="仿宋" w:eastAsia="仿宋_GB2312"/>
                <w:color w:val="auto"/>
                <w:sz w:val="28"/>
                <w:szCs w:val="28"/>
                <w:highlight w:val="none"/>
              </w:rPr>
            </w:pPr>
          </w:p>
        </w:tc>
      </w:tr>
      <w:tr w14:paraId="7445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5000FBCB">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3</w:t>
            </w:r>
          </w:p>
        </w:tc>
        <w:tc>
          <w:tcPr>
            <w:tcW w:w="2936" w:type="dxa"/>
            <w:tcBorders>
              <w:top w:val="single" w:color="auto" w:sz="4" w:space="0"/>
              <w:left w:val="nil"/>
              <w:bottom w:val="single" w:color="auto" w:sz="4" w:space="0"/>
              <w:right w:val="single" w:color="auto" w:sz="4" w:space="0"/>
            </w:tcBorders>
            <w:shd w:val="clear" w:color="auto" w:fill="auto"/>
            <w:vAlign w:val="center"/>
          </w:tcPr>
          <w:p w14:paraId="0DCB17CF">
            <w:pPr>
              <w:spacing w:line="560" w:lineRule="exact"/>
              <w:jc w:val="center"/>
              <w:rPr>
                <w:rFonts w:ascii="仿宋_GB2312" w:hAnsi="仿宋" w:eastAsia="仿宋_GB2312"/>
                <w:color w:val="auto"/>
                <w:sz w:val="28"/>
                <w:szCs w:val="2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44BE203C">
            <w:pPr>
              <w:spacing w:line="560" w:lineRule="exact"/>
              <w:rPr>
                <w:rFonts w:ascii="仿宋_GB2312" w:hAnsi="仿宋" w:eastAsia="仿宋_GB2312"/>
                <w:color w:val="auto"/>
                <w:sz w:val="28"/>
                <w:szCs w:val="28"/>
                <w:highlight w:val="none"/>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3A4EDFF8">
            <w:pPr>
              <w:spacing w:line="560" w:lineRule="exact"/>
              <w:rPr>
                <w:rFonts w:ascii="仿宋_GB2312" w:hAnsi="仿宋" w:eastAsia="仿宋_GB2312"/>
                <w:color w:val="auto"/>
                <w:sz w:val="28"/>
                <w:szCs w:val="28"/>
                <w:highlight w:val="none"/>
              </w:rPr>
            </w:pPr>
          </w:p>
        </w:tc>
        <w:tc>
          <w:tcPr>
            <w:tcW w:w="1701" w:type="dxa"/>
            <w:tcBorders>
              <w:top w:val="single" w:color="auto" w:sz="4" w:space="0"/>
              <w:left w:val="nil"/>
              <w:bottom w:val="single" w:color="auto" w:sz="4" w:space="0"/>
              <w:right w:val="single" w:color="auto" w:sz="4" w:space="0"/>
            </w:tcBorders>
            <w:shd w:val="clear" w:color="auto" w:fill="auto"/>
            <w:vAlign w:val="center"/>
          </w:tcPr>
          <w:p w14:paraId="458ACF35">
            <w:pPr>
              <w:spacing w:line="560" w:lineRule="exact"/>
              <w:rPr>
                <w:rFonts w:ascii="仿宋_GB2312" w:hAnsi="仿宋" w:eastAsia="仿宋_GB2312"/>
                <w:color w:val="auto"/>
                <w:sz w:val="28"/>
                <w:szCs w:val="28"/>
                <w:highlight w:val="none"/>
              </w:rPr>
            </w:pPr>
          </w:p>
        </w:tc>
        <w:tc>
          <w:tcPr>
            <w:tcW w:w="2047" w:type="dxa"/>
            <w:tcBorders>
              <w:top w:val="single" w:color="auto" w:sz="4" w:space="0"/>
              <w:left w:val="nil"/>
              <w:bottom w:val="single" w:color="auto" w:sz="4" w:space="0"/>
              <w:right w:val="single" w:color="auto" w:sz="4" w:space="0"/>
            </w:tcBorders>
            <w:shd w:val="clear" w:color="auto" w:fill="auto"/>
            <w:vAlign w:val="center"/>
          </w:tcPr>
          <w:p w14:paraId="25E7F8A8">
            <w:pPr>
              <w:spacing w:line="560" w:lineRule="exact"/>
              <w:rPr>
                <w:rFonts w:ascii="仿宋_GB2312" w:hAnsi="仿宋" w:eastAsia="仿宋_GB2312"/>
                <w:color w:val="auto"/>
                <w:sz w:val="28"/>
                <w:szCs w:val="28"/>
                <w:highlight w:val="none"/>
              </w:rPr>
            </w:pPr>
          </w:p>
        </w:tc>
      </w:tr>
      <w:tr w14:paraId="7C29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2F932F91">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w:t>
            </w:r>
          </w:p>
        </w:tc>
        <w:tc>
          <w:tcPr>
            <w:tcW w:w="2936" w:type="dxa"/>
            <w:tcBorders>
              <w:top w:val="single" w:color="auto" w:sz="4" w:space="0"/>
              <w:left w:val="nil"/>
              <w:bottom w:val="single" w:color="auto" w:sz="4" w:space="0"/>
              <w:right w:val="single" w:color="auto" w:sz="4" w:space="0"/>
            </w:tcBorders>
            <w:shd w:val="clear" w:color="auto" w:fill="auto"/>
            <w:vAlign w:val="center"/>
          </w:tcPr>
          <w:p w14:paraId="75C09F1B">
            <w:pPr>
              <w:spacing w:line="560" w:lineRule="exact"/>
              <w:jc w:val="center"/>
              <w:rPr>
                <w:rFonts w:ascii="仿宋_GB2312" w:hAnsi="仿宋" w:eastAsia="仿宋_GB2312"/>
                <w:color w:val="auto"/>
                <w:sz w:val="28"/>
                <w:szCs w:val="2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19F128A0">
            <w:pPr>
              <w:spacing w:line="560" w:lineRule="exact"/>
              <w:rPr>
                <w:rFonts w:ascii="仿宋_GB2312" w:hAnsi="仿宋" w:eastAsia="仿宋_GB2312"/>
                <w:color w:val="auto"/>
                <w:sz w:val="28"/>
                <w:szCs w:val="28"/>
                <w:highlight w:val="none"/>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6C6E0984">
            <w:pPr>
              <w:spacing w:line="560" w:lineRule="exact"/>
              <w:rPr>
                <w:rFonts w:ascii="仿宋_GB2312" w:hAnsi="仿宋" w:eastAsia="仿宋_GB2312"/>
                <w:color w:val="auto"/>
                <w:sz w:val="28"/>
                <w:szCs w:val="28"/>
                <w:highlight w:val="none"/>
              </w:rPr>
            </w:pPr>
          </w:p>
        </w:tc>
        <w:tc>
          <w:tcPr>
            <w:tcW w:w="1701" w:type="dxa"/>
            <w:tcBorders>
              <w:top w:val="single" w:color="auto" w:sz="4" w:space="0"/>
              <w:left w:val="nil"/>
              <w:bottom w:val="single" w:color="auto" w:sz="4" w:space="0"/>
              <w:right w:val="single" w:color="auto" w:sz="4" w:space="0"/>
            </w:tcBorders>
            <w:shd w:val="clear" w:color="auto" w:fill="auto"/>
            <w:vAlign w:val="center"/>
          </w:tcPr>
          <w:p w14:paraId="30BA503B">
            <w:pPr>
              <w:spacing w:line="560" w:lineRule="exact"/>
              <w:rPr>
                <w:rFonts w:ascii="仿宋_GB2312" w:hAnsi="仿宋" w:eastAsia="仿宋_GB2312"/>
                <w:color w:val="auto"/>
                <w:sz w:val="28"/>
                <w:szCs w:val="28"/>
                <w:highlight w:val="none"/>
              </w:rPr>
            </w:pPr>
          </w:p>
        </w:tc>
        <w:tc>
          <w:tcPr>
            <w:tcW w:w="2047" w:type="dxa"/>
            <w:tcBorders>
              <w:top w:val="single" w:color="auto" w:sz="4" w:space="0"/>
              <w:left w:val="nil"/>
              <w:bottom w:val="single" w:color="auto" w:sz="4" w:space="0"/>
              <w:right w:val="single" w:color="auto" w:sz="4" w:space="0"/>
            </w:tcBorders>
            <w:shd w:val="clear" w:color="auto" w:fill="auto"/>
            <w:vAlign w:val="center"/>
          </w:tcPr>
          <w:p w14:paraId="2A1044BC">
            <w:pPr>
              <w:spacing w:line="560" w:lineRule="exact"/>
              <w:rPr>
                <w:rFonts w:ascii="仿宋_GB2312" w:hAnsi="仿宋" w:eastAsia="仿宋_GB2312"/>
                <w:color w:val="auto"/>
                <w:sz w:val="28"/>
                <w:szCs w:val="28"/>
                <w:highlight w:val="none"/>
              </w:rPr>
            </w:pPr>
          </w:p>
        </w:tc>
      </w:tr>
      <w:tr w14:paraId="205B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14:paraId="21742E64">
            <w:pPr>
              <w:spacing w:line="560" w:lineRule="exact"/>
              <w:jc w:val="center"/>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N</w:t>
            </w:r>
          </w:p>
        </w:tc>
        <w:tc>
          <w:tcPr>
            <w:tcW w:w="2936" w:type="dxa"/>
            <w:tcBorders>
              <w:top w:val="single" w:color="auto" w:sz="4" w:space="0"/>
              <w:left w:val="nil"/>
              <w:bottom w:val="single" w:color="auto" w:sz="4" w:space="0"/>
              <w:right w:val="single" w:color="auto" w:sz="4" w:space="0"/>
            </w:tcBorders>
            <w:shd w:val="clear" w:color="auto" w:fill="auto"/>
            <w:vAlign w:val="center"/>
          </w:tcPr>
          <w:p w14:paraId="37264BA3">
            <w:pPr>
              <w:spacing w:line="560" w:lineRule="exact"/>
              <w:jc w:val="center"/>
              <w:rPr>
                <w:rFonts w:ascii="仿宋_GB2312" w:hAnsi="仿宋" w:eastAsia="仿宋_GB2312"/>
                <w:color w:val="auto"/>
                <w:sz w:val="28"/>
                <w:szCs w:val="2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11B324C1">
            <w:pPr>
              <w:spacing w:line="560" w:lineRule="exact"/>
              <w:rPr>
                <w:rFonts w:ascii="仿宋_GB2312" w:hAnsi="仿宋" w:eastAsia="仿宋_GB2312"/>
                <w:color w:val="auto"/>
                <w:sz w:val="28"/>
                <w:szCs w:val="28"/>
                <w:highlight w:val="none"/>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6BD7B6D4">
            <w:pPr>
              <w:spacing w:line="560" w:lineRule="exact"/>
              <w:rPr>
                <w:rFonts w:ascii="仿宋_GB2312" w:hAnsi="仿宋" w:eastAsia="仿宋_GB2312"/>
                <w:color w:val="auto"/>
                <w:sz w:val="28"/>
                <w:szCs w:val="28"/>
                <w:highlight w:val="none"/>
              </w:rPr>
            </w:pPr>
          </w:p>
        </w:tc>
        <w:tc>
          <w:tcPr>
            <w:tcW w:w="1701" w:type="dxa"/>
            <w:tcBorders>
              <w:top w:val="single" w:color="auto" w:sz="4" w:space="0"/>
              <w:left w:val="nil"/>
              <w:bottom w:val="single" w:color="auto" w:sz="4" w:space="0"/>
              <w:right w:val="single" w:color="auto" w:sz="4" w:space="0"/>
            </w:tcBorders>
            <w:shd w:val="clear" w:color="auto" w:fill="auto"/>
            <w:vAlign w:val="center"/>
          </w:tcPr>
          <w:p w14:paraId="6272D217">
            <w:pPr>
              <w:spacing w:line="560" w:lineRule="exact"/>
              <w:rPr>
                <w:rFonts w:ascii="仿宋_GB2312" w:hAnsi="仿宋" w:eastAsia="仿宋_GB2312"/>
                <w:color w:val="auto"/>
                <w:sz w:val="28"/>
                <w:szCs w:val="28"/>
                <w:highlight w:val="none"/>
              </w:rPr>
            </w:pPr>
          </w:p>
        </w:tc>
        <w:tc>
          <w:tcPr>
            <w:tcW w:w="2047" w:type="dxa"/>
            <w:tcBorders>
              <w:top w:val="single" w:color="auto" w:sz="4" w:space="0"/>
              <w:left w:val="nil"/>
              <w:bottom w:val="single" w:color="auto" w:sz="4" w:space="0"/>
              <w:right w:val="single" w:color="auto" w:sz="4" w:space="0"/>
            </w:tcBorders>
            <w:shd w:val="clear" w:color="auto" w:fill="auto"/>
            <w:vAlign w:val="center"/>
          </w:tcPr>
          <w:p w14:paraId="46D3653D">
            <w:pPr>
              <w:spacing w:line="560" w:lineRule="exact"/>
              <w:rPr>
                <w:rFonts w:ascii="仿宋_GB2312" w:hAnsi="仿宋" w:eastAsia="仿宋_GB2312"/>
                <w:color w:val="auto"/>
                <w:sz w:val="28"/>
                <w:szCs w:val="28"/>
                <w:highlight w:val="none"/>
              </w:rPr>
            </w:pPr>
          </w:p>
        </w:tc>
      </w:tr>
      <w:tr w14:paraId="0168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3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77E35E">
            <w:pPr>
              <w:spacing w:line="560" w:lineRule="exact"/>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总报价（人民币大写）：</w:t>
            </w:r>
            <w:r>
              <w:rPr>
                <w:rFonts w:hint="eastAsia" w:ascii="仿宋_GB2312" w:hAnsi="仿宋" w:eastAsia="仿宋_GB2312"/>
                <w:color w:val="auto"/>
                <w:sz w:val="28"/>
                <w:szCs w:val="28"/>
                <w:highlight w:val="none"/>
                <w:lang w:bidi="ar"/>
              </w:rPr>
              <w:t xml:space="preserve"> </w:t>
            </w:r>
            <w:r>
              <w:rPr>
                <w:rFonts w:hint="eastAsia" w:ascii="仿宋_GB2312" w:hAnsi="仿宋" w:eastAsia="仿宋_GB2312" w:cs="仿宋_GB2312"/>
                <w:color w:val="auto"/>
                <w:sz w:val="28"/>
                <w:szCs w:val="28"/>
                <w:highlight w:val="none"/>
                <w:lang w:bidi="ar"/>
              </w:rPr>
              <w:t xml:space="preserve">                                （￥</w:t>
            </w:r>
            <w:r>
              <w:rPr>
                <w:rFonts w:hint="eastAsia" w:ascii="仿宋_GB2312" w:hAnsi="仿宋" w:eastAsia="仿宋_GB2312"/>
                <w:color w:val="auto"/>
                <w:sz w:val="28"/>
                <w:szCs w:val="28"/>
                <w:highlight w:val="none"/>
                <w:lang w:bidi="ar"/>
              </w:rPr>
              <w:t xml:space="preserve"> </w:t>
            </w:r>
            <w:r>
              <w:rPr>
                <w:rFonts w:hint="eastAsia" w:ascii="仿宋_GB2312" w:hAnsi="仿宋" w:eastAsia="仿宋_GB2312" w:cs="仿宋_GB2312"/>
                <w:color w:val="auto"/>
                <w:sz w:val="28"/>
                <w:szCs w:val="28"/>
                <w:highlight w:val="none"/>
                <w:lang w:bidi="ar"/>
              </w:rPr>
              <w:t xml:space="preserve">          元）</w:t>
            </w:r>
          </w:p>
        </w:tc>
      </w:tr>
      <w:tr w14:paraId="2635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953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945568">
            <w:pPr>
              <w:spacing w:line="560" w:lineRule="exact"/>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服务完成时间：</w:t>
            </w:r>
            <w:r>
              <w:rPr>
                <w:rFonts w:hint="eastAsia" w:ascii="仿宋_GB2312" w:hAnsi="仿宋" w:eastAsia="仿宋_GB2312"/>
                <w:color w:val="auto"/>
                <w:sz w:val="28"/>
                <w:szCs w:val="28"/>
                <w:highlight w:val="none"/>
                <w:lang w:bidi="ar"/>
              </w:rPr>
              <w:t xml:space="preserve"> </w:t>
            </w:r>
          </w:p>
        </w:tc>
      </w:tr>
    </w:tbl>
    <w:p w14:paraId="6FE9E4C9">
      <w:pPr>
        <w:spacing w:line="500" w:lineRule="exact"/>
        <w:ind w:firstLine="560" w:firstLineChars="200"/>
        <w:jc w:val="left"/>
        <w:rPr>
          <w:rFonts w:ascii="仿宋_GB2312" w:hAnsi="仿宋" w:eastAsia="仿宋_GB2312"/>
          <w:color w:val="auto"/>
          <w:sz w:val="28"/>
          <w:szCs w:val="28"/>
          <w:highlight w:val="none"/>
        </w:rPr>
      </w:pPr>
      <w:r>
        <w:rPr>
          <w:rFonts w:hint="eastAsia" w:ascii="仿宋_GB2312" w:hAnsi="仿宋" w:eastAsia="仿宋_GB2312" w:cs="仿宋_GB2312"/>
          <w:color w:val="auto"/>
          <w:sz w:val="28"/>
          <w:szCs w:val="28"/>
          <w:highlight w:val="none"/>
          <w:lang w:bidi="ar"/>
        </w:rPr>
        <w:t>采购项目名称:</w:t>
      </w:r>
      <w:r>
        <w:rPr>
          <w:rFonts w:hint="eastAsia" w:ascii="仿宋_GB2312" w:hAnsi="仿宋" w:eastAsia="仿宋_GB2312"/>
          <w:color w:val="auto"/>
          <w:sz w:val="28"/>
          <w:szCs w:val="28"/>
          <w:highlight w:val="none"/>
          <w:u w:val="single"/>
          <w:lang w:bidi="ar"/>
        </w:rPr>
        <w:t xml:space="preserve">                 </w:t>
      </w:r>
      <w:r>
        <w:rPr>
          <w:rFonts w:hint="eastAsia" w:ascii="仿宋_GB2312" w:hAnsi="仿宋" w:eastAsia="仿宋_GB2312"/>
          <w:color w:val="auto"/>
          <w:sz w:val="28"/>
          <w:szCs w:val="28"/>
          <w:highlight w:val="none"/>
          <w:lang w:bidi="ar"/>
        </w:rPr>
        <w:t xml:space="preserve">     </w:t>
      </w:r>
    </w:p>
    <w:p w14:paraId="2C70B7E2">
      <w:pPr>
        <w:spacing w:line="56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bidi="ar"/>
        </w:rPr>
        <w:t xml:space="preserve"> </w:t>
      </w:r>
    </w:p>
    <w:p w14:paraId="42BB1EA4">
      <w:pPr>
        <w:spacing w:line="52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bidi="ar"/>
        </w:rPr>
        <w:t xml:space="preserve"> </w:t>
      </w:r>
    </w:p>
    <w:p w14:paraId="36DD272F">
      <w:pPr>
        <w:spacing w:line="520" w:lineRule="exact"/>
        <w:ind w:firstLine="560" w:firstLineChars="200"/>
        <w:rPr>
          <w:rFonts w:ascii="仿宋_GB2312" w:hAnsi="仿宋" w:eastAsia="仿宋_GB2312"/>
          <w:color w:val="auto"/>
          <w:sz w:val="28"/>
          <w:szCs w:val="28"/>
          <w:highlight w:val="none"/>
          <w:u w:val="single"/>
        </w:rPr>
      </w:pPr>
      <w:r>
        <w:rPr>
          <w:rFonts w:hint="eastAsia" w:ascii="仿宋_GB2312" w:hAnsi="仿宋" w:eastAsia="仿宋_GB2312" w:cs="仿宋_GB2312"/>
          <w:color w:val="auto"/>
          <w:sz w:val="28"/>
          <w:szCs w:val="28"/>
          <w:highlight w:val="none"/>
          <w:lang w:bidi="ar"/>
        </w:rPr>
        <w:t>法定代表人或法定代表人授权代表签字：</w:t>
      </w:r>
      <w:r>
        <w:rPr>
          <w:rFonts w:hint="eastAsia" w:ascii="仿宋_GB2312" w:hAnsi="仿宋" w:eastAsia="仿宋_GB2312"/>
          <w:color w:val="auto"/>
          <w:sz w:val="28"/>
          <w:szCs w:val="28"/>
          <w:highlight w:val="none"/>
          <w:u w:val="single"/>
          <w:lang w:bidi="ar"/>
        </w:rPr>
        <w:t xml:space="preserve">        </w:t>
      </w:r>
    </w:p>
    <w:p w14:paraId="4B38033A">
      <w:pPr>
        <w:spacing w:line="560" w:lineRule="exact"/>
        <w:ind w:firstLine="560" w:firstLineChars="200"/>
        <w:rPr>
          <w:rFonts w:ascii="仿宋_GB2312" w:hAnsi="仿宋" w:eastAsia="仿宋_GB2312"/>
          <w:color w:val="auto"/>
          <w:sz w:val="28"/>
          <w:szCs w:val="28"/>
          <w:highlight w:val="none"/>
          <w:u w:val="single"/>
        </w:rPr>
      </w:pPr>
      <w:r>
        <w:rPr>
          <w:rFonts w:hint="eastAsia" w:ascii="仿宋_GB2312" w:hAnsi="仿宋" w:eastAsia="仿宋_GB2312" w:cs="仿宋_GB2312"/>
          <w:color w:val="auto"/>
          <w:sz w:val="28"/>
          <w:szCs w:val="28"/>
          <w:highlight w:val="none"/>
          <w:lang w:bidi="ar"/>
        </w:rPr>
        <w:t>供应商名称（盖章）：</w:t>
      </w:r>
      <w:r>
        <w:rPr>
          <w:rFonts w:hint="eastAsia" w:ascii="仿宋_GB2312" w:hAnsi="仿宋" w:eastAsia="仿宋_GB2312"/>
          <w:color w:val="auto"/>
          <w:sz w:val="28"/>
          <w:szCs w:val="28"/>
          <w:highlight w:val="none"/>
          <w:u w:val="single"/>
          <w:lang w:bidi="ar"/>
        </w:rPr>
        <w:t xml:space="preserve">               </w:t>
      </w:r>
    </w:p>
    <w:p w14:paraId="1A4DF589">
      <w:pPr>
        <w:spacing w:line="400" w:lineRule="exact"/>
        <w:ind w:firstLine="560" w:firstLineChars="200"/>
        <w:rPr>
          <w:rFonts w:ascii="仿宋_GB2312" w:hAnsi="宋体" w:eastAsia="仿宋_GB2312"/>
          <w:color w:val="auto"/>
          <w:szCs w:val="21"/>
          <w:highlight w:val="none"/>
        </w:rPr>
      </w:pPr>
      <w:r>
        <w:rPr>
          <w:rFonts w:hint="eastAsia" w:ascii="仿宋_GB2312" w:hAnsi="仿宋" w:eastAsia="仿宋_GB2312" w:cs="仿宋_GB2312"/>
          <w:color w:val="auto"/>
          <w:sz w:val="28"/>
          <w:szCs w:val="28"/>
          <w:highlight w:val="none"/>
          <w:lang w:bidi="ar"/>
        </w:rPr>
        <w:t>日</w:t>
      </w:r>
      <w:r>
        <w:rPr>
          <w:rFonts w:hint="eastAsia" w:ascii="仿宋_GB2312" w:hAnsi="仿宋" w:eastAsia="仿宋_GB2312"/>
          <w:color w:val="auto"/>
          <w:sz w:val="28"/>
          <w:szCs w:val="28"/>
          <w:highlight w:val="none"/>
          <w:lang w:bidi="ar"/>
        </w:rPr>
        <w:t xml:space="preserve">   </w:t>
      </w:r>
      <w:r>
        <w:rPr>
          <w:rFonts w:hint="eastAsia" w:ascii="仿宋_GB2312" w:hAnsi="仿宋" w:eastAsia="仿宋_GB2312" w:cs="仿宋_GB2312"/>
          <w:color w:val="auto"/>
          <w:sz w:val="28"/>
          <w:szCs w:val="28"/>
          <w:highlight w:val="none"/>
          <w:lang w:bidi="ar"/>
        </w:rPr>
        <w:t>期：</w:t>
      </w:r>
      <w:r>
        <w:rPr>
          <w:rFonts w:hint="eastAsia" w:ascii="仿宋_GB2312" w:hAnsi="仿宋" w:eastAsia="仿宋_GB2312"/>
          <w:color w:val="auto"/>
          <w:sz w:val="28"/>
          <w:szCs w:val="28"/>
          <w:highlight w:val="none"/>
          <w:u w:val="single"/>
          <w:lang w:bidi="ar"/>
        </w:rPr>
        <w:t xml:space="preserve">                            </w:t>
      </w:r>
    </w:p>
    <w:p w14:paraId="7B02F89F">
      <w:pPr>
        <w:spacing w:line="300" w:lineRule="auto"/>
        <w:ind w:firstLine="883" w:firstLineChars="200"/>
        <w:jc w:val="center"/>
        <w:rPr>
          <w:rFonts w:ascii="仿宋_GB2312" w:hAnsi="宋体" w:eastAsia="仿宋_GB2312"/>
          <w:b/>
          <w:color w:val="auto"/>
          <w:sz w:val="44"/>
          <w:szCs w:val="44"/>
          <w:highlight w:val="none"/>
        </w:rPr>
      </w:pPr>
      <w:r>
        <w:rPr>
          <w:rFonts w:hint="eastAsia" w:ascii="仿宋_GB2312" w:hAnsi="宋体" w:eastAsia="仿宋_GB2312"/>
          <w:b/>
          <w:color w:val="auto"/>
          <w:sz w:val="44"/>
          <w:szCs w:val="44"/>
          <w:highlight w:val="none"/>
          <w:lang w:bidi="ar"/>
        </w:rPr>
        <w:br w:type="page"/>
      </w:r>
    </w:p>
    <w:p w14:paraId="134DE9E5">
      <w:pPr>
        <w:spacing w:before="156" w:beforeLines="50" w:after="156" w:afterLines="50" w:line="560" w:lineRule="exact"/>
        <w:jc w:val="center"/>
        <w:rPr>
          <w:rFonts w:ascii="仿宋_GB2312" w:hAnsi="宋体" w:eastAsia="仿宋_GB2312" w:cs="仿宋_GB2312"/>
          <w:b/>
          <w:color w:val="auto"/>
          <w:sz w:val="44"/>
          <w:szCs w:val="44"/>
          <w:highlight w:val="none"/>
          <w:lang w:bidi="ar"/>
        </w:rPr>
      </w:pPr>
    </w:p>
    <w:p w14:paraId="2FD317BC">
      <w:pPr>
        <w:spacing w:before="156" w:beforeLines="50" w:after="156" w:afterLines="50" w:line="560" w:lineRule="exact"/>
        <w:jc w:val="center"/>
        <w:rPr>
          <w:rFonts w:ascii="仿宋_GB2312" w:hAnsi="宋体" w:eastAsia="仿宋_GB2312"/>
          <w:b/>
          <w:color w:val="auto"/>
          <w:sz w:val="44"/>
          <w:szCs w:val="44"/>
          <w:highlight w:val="none"/>
        </w:rPr>
      </w:pPr>
      <w:r>
        <w:rPr>
          <w:rFonts w:hint="eastAsia" w:ascii="仿宋_GB2312" w:hAnsi="宋体" w:eastAsia="仿宋_GB2312" w:cs="仿宋_GB2312"/>
          <w:b/>
          <w:color w:val="auto"/>
          <w:sz w:val="44"/>
          <w:szCs w:val="44"/>
          <w:highlight w:val="none"/>
          <w:lang w:bidi="ar"/>
        </w:rPr>
        <w:t>法人授权委托书</w:t>
      </w:r>
    </w:p>
    <w:p w14:paraId="66841816">
      <w:pPr>
        <w:adjustRightInd w:val="0"/>
        <w:snapToGrid w:val="0"/>
        <w:spacing w:line="52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lang w:bidi="ar"/>
        </w:rPr>
        <w:t xml:space="preserve"> </w:t>
      </w:r>
    </w:p>
    <w:p w14:paraId="0B3617BD">
      <w:pPr>
        <w:spacing w:line="360" w:lineRule="auto"/>
        <w:ind w:firstLine="560" w:firstLineChars="200"/>
        <w:jc w:val="left"/>
        <w:rPr>
          <w:rFonts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lang w:bidi="ar"/>
        </w:rPr>
        <w:t>本授权委托书声明：兹授权</w:t>
      </w:r>
      <w:r>
        <w:rPr>
          <w:rFonts w:hint="eastAsia" w:ascii="仿宋_GB2312" w:hAnsi="宋体" w:eastAsia="仿宋_GB2312" w:cs="仿宋_GB2312"/>
          <w:color w:val="auto"/>
          <w:sz w:val="28"/>
          <w:szCs w:val="28"/>
          <w:highlight w:val="none"/>
          <w:u w:val="single"/>
          <w:lang w:bidi="ar"/>
        </w:rPr>
        <w:t>（姓名）(身份证号码：XXXXX)</w:t>
      </w:r>
      <w:r>
        <w:rPr>
          <w:rFonts w:hint="eastAsia" w:ascii="仿宋_GB2312" w:hAnsi="宋体" w:eastAsia="仿宋_GB2312" w:cs="仿宋_GB2312"/>
          <w:color w:val="auto"/>
          <w:sz w:val="28"/>
          <w:szCs w:val="28"/>
          <w:highlight w:val="none"/>
          <w:lang w:bidi="ar"/>
        </w:rPr>
        <w:t>为我公司参加贵单位组织的</w:t>
      </w:r>
      <w:r>
        <w:rPr>
          <w:rFonts w:hint="eastAsia" w:ascii="仿宋_GB2312" w:hAnsi="宋体" w:eastAsia="仿宋_GB2312" w:cs="仿宋_GB2312"/>
          <w:color w:val="auto"/>
          <w:sz w:val="28"/>
          <w:szCs w:val="28"/>
          <w:highlight w:val="none"/>
          <w:u w:val="single"/>
          <w:lang w:bidi="ar"/>
        </w:rPr>
        <w:t>（项</w:t>
      </w:r>
      <w:r>
        <w:rPr>
          <w:rFonts w:hint="eastAsia" w:ascii="仿宋_GB2312" w:hAnsi="宋体" w:eastAsia="仿宋_GB2312"/>
          <w:color w:val="auto"/>
          <w:sz w:val="28"/>
          <w:szCs w:val="28"/>
          <w:highlight w:val="none"/>
          <w:u w:val="single"/>
          <w:lang w:bidi="ar"/>
        </w:rPr>
        <w:t xml:space="preserve">    </w:t>
      </w:r>
      <w:r>
        <w:rPr>
          <w:rFonts w:hint="eastAsia" w:ascii="仿宋_GB2312" w:hAnsi="宋体" w:eastAsia="仿宋_GB2312" w:cs="仿宋_GB2312"/>
          <w:color w:val="auto"/>
          <w:sz w:val="28"/>
          <w:szCs w:val="28"/>
          <w:highlight w:val="none"/>
          <w:u w:val="single"/>
          <w:lang w:bidi="ar"/>
        </w:rPr>
        <w:t>目</w:t>
      </w:r>
      <w:r>
        <w:rPr>
          <w:rFonts w:hint="eastAsia" w:ascii="仿宋_GB2312" w:hAnsi="宋体" w:eastAsia="仿宋_GB2312"/>
          <w:color w:val="auto"/>
          <w:sz w:val="28"/>
          <w:szCs w:val="28"/>
          <w:highlight w:val="none"/>
          <w:u w:val="single"/>
          <w:lang w:bidi="ar"/>
        </w:rPr>
        <w:t xml:space="preserve">    </w:t>
      </w:r>
      <w:r>
        <w:rPr>
          <w:rFonts w:hint="eastAsia" w:ascii="仿宋_GB2312" w:hAnsi="宋体" w:eastAsia="仿宋_GB2312" w:cs="仿宋_GB2312"/>
          <w:color w:val="auto"/>
          <w:sz w:val="28"/>
          <w:szCs w:val="28"/>
          <w:highlight w:val="none"/>
          <w:u w:val="single"/>
          <w:lang w:bidi="ar"/>
        </w:rPr>
        <w:t>名</w:t>
      </w:r>
      <w:r>
        <w:rPr>
          <w:rFonts w:hint="eastAsia" w:ascii="仿宋_GB2312" w:hAnsi="宋体" w:eastAsia="仿宋_GB2312"/>
          <w:color w:val="auto"/>
          <w:sz w:val="28"/>
          <w:szCs w:val="28"/>
          <w:highlight w:val="none"/>
          <w:u w:val="single"/>
          <w:lang w:bidi="ar"/>
        </w:rPr>
        <w:t xml:space="preserve">   </w:t>
      </w:r>
      <w:r>
        <w:rPr>
          <w:rFonts w:hint="eastAsia" w:ascii="仿宋_GB2312" w:hAnsi="宋体" w:eastAsia="仿宋_GB2312" w:cs="仿宋_GB2312"/>
          <w:color w:val="auto"/>
          <w:sz w:val="28"/>
          <w:szCs w:val="28"/>
          <w:highlight w:val="none"/>
          <w:u w:val="single"/>
          <w:lang w:bidi="ar"/>
        </w:rPr>
        <w:t>称）</w:t>
      </w:r>
      <w:r>
        <w:rPr>
          <w:rFonts w:hint="eastAsia" w:ascii="仿宋_GB2312" w:hAnsi="宋体" w:eastAsia="仿宋_GB2312" w:cs="仿宋_GB2312"/>
          <w:color w:val="auto"/>
          <w:sz w:val="28"/>
          <w:szCs w:val="28"/>
          <w:highlight w:val="none"/>
          <w:lang w:bidi="ar"/>
        </w:rPr>
        <w:t>采购活动的竞标代表人，全权代表我公司处理在该项目活动中的一切事宜。代理期限从</w:t>
      </w:r>
      <w:r>
        <w:rPr>
          <w:rFonts w:hint="eastAsia" w:ascii="仿宋_GB2312" w:hAnsi="宋体" w:eastAsia="仿宋_GB2312"/>
          <w:color w:val="auto"/>
          <w:sz w:val="28"/>
          <w:szCs w:val="28"/>
          <w:highlight w:val="none"/>
          <w:u w:val="single"/>
          <w:lang w:bidi="ar"/>
        </w:rPr>
        <w:t xml:space="preserve">     </w:t>
      </w:r>
      <w:r>
        <w:rPr>
          <w:rFonts w:hint="eastAsia" w:ascii="仿宋_GB2312" w:hAnsi="宋体" w:eastAsia="仿宋_GB2312" w:cs="仿宋_GB2312"/>
          <w:color w:val="auto"/>
          <w:sz w:val="28"/>
          <w:szCs w:val="28"/>
          <w:highlight w:val="none"/>
          <w:lang w:bidi="ar"/>
        </w:rPr>
        <w:t>年</w:t>
      </w:r>
      <w:r>
        <w:rPr>
          <w:rFonts w:hint="eastAsia" w:ascii="仿宋_GB2312" w:hAnsi="宋体" w:eastAsia="仿宋_GB2312"/>
          <w:color w:val="auto"/>
          <w:sz w:val="28"/>
          <w:szCs w:val="28"/>
          <w:highlight w:val="none"/>
          <w:u w:val="single"/>
          <w:lang w:bidi="ar"/>
        </w:rPr>
        <w:t xml:space="preserve">   </w:t>
      </w:r>
      <w:r>
        <w:rPr>
          <w:rFonts w:hint="eastAsia" w:ascii="仿宋_GB2312" w:hAnsi="宋体" w:eastAsia="仿宋_GB2312" w:cs="仿宋_GB2312"/>
          <w:color w:val="auto"/>
          <w:sz w:val="28"/>
          <w:szCs w:val="28"/>
          <w:highlight w:val="none"/>
          <w:lang w:bidi="ar"/>
        </w:rPr>
        <w:t>月</w:t>
      </w:r>
      <w:r>
        <w:rPr>
          <w:rFonts w:hint="eastAsia" w:ascii="仿宋_GB2312" w:hAnsi="宋体" w:eastAsia="仿宋_GB2312"/>
          <w:color w:val="auto"/>
          <w:sz w:val="28"/>
          <w:szCs w:val="28"/>
          <w:highlight w:val="none"/>
          <w:u w:val="single"/>
          <w:lang w:bidi="ar"/>
        </w:rPr>
        <w:t xml:space="preserve">   </w:t>
      </w:r>
      <w:r>
        <w:rPr>
          <w:rFonts w:hint="eastAsia" w:ascii="仿宋_GB2312" w:hAnsi="宋体" w:eastAsia="仿宋_GB2312" w:cs="仿宋_GB2312"/>
          <w:color w:val="auto"/>
          <w:sz w:val="28"/>
          <w:szCs w:val="28"/>
          <w:highlight w:val="none"/>
          <w:lang w:bidi="ar"/>
        </w:rPr>
        <w:t>日起至</w:t>
      </w:r>
      <w:r>
        <w:rPr>
          <w:rFonts w:hint="eastAsia" w:ascii="仿宋_GB2312" w:hAnsi="宋体" w:eastAsia="仿宋_GB2312"/>
          <w:color w:val="auto"/>
          <w:sz w:val="28"/>
          <w:szCs w:val="28"/>
          <w:highlight w:val="none"/>
          <w:u w:val="single"/>
          <w:lang w:bidi="ar"/>
        </w:rPr>
        <w:t xml:space="preserve">     </w:t>
      </w:r>
      <w:r>
        <w:rPr>
          <w:rFonts w:hint="eastAsia" w:ascii="仿宋_GB2312" w:hAnsi="宋体" w:eastAsia="仿宋_GB2312" w:cs="仿宋_GB2312"/>
          <w:color w:val="auto"/>
          <w:sz w:val="28"/>
          <w:szCs w:val="28"/>
          <w:highlight w:val="none"/>
          <w:lang w:bidi="ar"/>
        </w:rPr>
        <w:t>年</w:t>
      </w:r>
      <w:r>
        <w:rPr>
          <w:rFonts w:hint="eastAsia" w:ascii="仿宋_GB2312" w:hAnsi="宋体" w:eastAsia="仿宋_GB2312"/>
          <w:color w:val="auto"/>
          <w:sz w:val="28"/>
          <w:szCs w:val="28"/>
          <w:highlight w:val="none"/>
          <w:u w:val="single"/>
          <w:lang w:bidi="ar"/>
        </w:rPr>
        <w:t xml:space="preserve">   </w:t>
      </w:r>
      <w:r>
        <w:rPr>
          <w:rFonts w:hint="eastAsia" w:ascii="仿宋_GB2312" w:hAnsi="宋体" w:eastAsia="仿宋_GB2312" w:cs="仿宋_GB2312"/>
          <w:color w:val="auto"/>
          <w:sz w:val="28"/>
          <w:szCs w:val="28"/>
          <w:highlight w:val="none"/>
          <w:lang w:bidi="ar"/>
        </w:rPr>
        <w:t>月</w:t>
      </w:r>
      <w:r>
        <w:rPr>
          <w:rFonts w:hint="eastAsia" w:ascii="仿宋_GB2312" w:hAnsi="宋体" w:eastAsia="仿宋_GB2312"/>
          <w:color w:val="auto"/>
          <w:sz w:val="28"/>
          <w:szCs w:val="28"/>
          <w:highlight w:val="none"/>
          <w:u w:val="single"/>
          <w:lang w:bidi="ar"/>
        </w:rPr>
        <w:t xml:space="preserve">   </w:t>
      </w:r>
      <w:r>
        <w:rPr>
          <w:rFonts w:hint="eastAsia" w:ascii="仿宋_GB2312" w:hAnsi="宋体" w:eastAsia="仿宋_GB2312" w:cs="仿宋_GB2312"/>
          <w:color w:val="auto"/>
          <w:sz w:val="28"/>
          <w:szCs w:val="28"/>
          <w:highlight w:val="none"/>
          <w:lang w:bidi="ar"/>
        </w:rPr>
        <w:t>日止。</w:t>
      </w:r>
    </w:p>
    <w:p w14:paraId="4EE4DC10">
      <w:pPr>
        <w:spacing w:line="52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bidi="ar"/>
        </w:rPr>
        <w:t xml:space="preserve"> </w:t>
      </w:r>
    </w:p>
    <w:p w14:paraId="4CDD0E65">
      <w:pPr>
        <w:spacing w:line="520" w:lineRule="exact"/>
        <w:ind w:firstLine="560" w:firstLineChars="200"/>
        <w:jc w:val="right"/>
        <w:rPr>
          <w:rFonts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lang w:bidi="ar"/>
        </w:rPr>
        <w:t>授权单位（签章）：</w:t>
      </w:r>
      <w:r>
        <w:rPr>
          <w:rFonts w:hint="eastAsia" w:ascii="仿宋_GB2312" w:hAnsi="宋体" w:eastAsia="仿宋_GB2312"/>
          <w:color w:val="auto"/>
          <w:sz w:val="28"/>
          <w:szCs w:val="28"/>
          <w:highlight w:val="none"/>
          <w:u w:val="single"/>
          <w:lang w:bidi="ar"/>
        </w:rPr>
        <w:t xml:space="preserve">               </w:t>
      </w:r>
    </w:p>
    <w:p w14:paraId="5975CB19">
      <w:pPr>
        <w:spacing w:line="520" w:lineRule="exact"/>
        <w:ind w:firstLine="560" w:firstLineChars="200"/>
        <w:jc w:val="right"/>
        <w:rPr>
          <w:rFonts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lang w:bidi="ar"/>
        </w:rPr>
        <w:t>法定代表人（签字或盖章）：</w:t>
      </w:r>
      <w:r>
        <w:rPr>
          <w:rFonts w:hint="eastAsia" w:ascii="仿宋_GB2312" w:hAnsi="宋体" w:eastAsia="仿宋_GB2312"/>
          <w:color w:val="auto"/>
          <w:sz w:val="28"/>
          <w:szCs w:val="28"/>
          <w:highlight w:val="none"/>
          <w:u w:val="single"/>
          <w:lang w:bidi="ar"/>
        </w:rPr>
        <w:t xml:space="preserve">       </w:t>
      </w:r>
    </w:p>
    <w:p w14:paraId="1BFEF0CF">
      <w:pPr>
        <w:spacing w:line="520" w:lineRule="exact"/>
        <w:ind w:firstLine="560" w:firstLineChars="200"/>
        <w:jc w:val="right"/>
        <w:rPr>
          <w:rFonts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lang w:bidi="ar"/>
        </w:rPr>
        <w:t>授权委托日期：</w:t>
      </w:r>
      <w:r>
        <w:rPr>
          <w:rFonts w:hint="eastAsia" w:ascii="仿宋_GB2312" w:hAnsi="宋体" w:eastAsia="仿宋_GB2312"/>
          <w:color w:val="auto"/>
          <w:sz w:val="28"/>
          <w:szCs w:val="28"/>
          <w:highlight w:val="none"/>
          <w:u w:val="single"/>
          <w:lang w:bidi="ar"/>
        </w:rPr>
        <w:t xml:space="preserve">      </w:t>
      </w:r>
      <w:r>
        <w:rPr>
          <w:rFonts w:hint="eastAsia" w:ascii="仿宋_GB2312" w:hAnsi="宋体" w:eastAsia="仿宋_GB2312" w:cs="仿宋_GB2312"/>
          <w:color w:val="auto"/>
          <w:sz w:val="28"/>
          <w:szCs w:val="28"/>
          <w:highlight w:val="none"/>
          <w:lang w:bidi="ar"/>
        </w:rPr>
        <w:t>年</w:t>
      </w:r>
      <w:r>
        <w:rPr>
          <w:rFonts w:hint="eastAsia" w:ascii="仿宋_GB2312" w:hAnsi="宋体" w:eastAsia="仿宋_GB2312"/>
          <w:color w:val="auto"/>
          <w:sz w:val="28"/>
          <w:szCs w:val="28"/>
          <w:highlight w:val="none"/>
          <w:u w:val="single"/>
          <w:lang w:bidi="ar"/>
        </w:rPr>
        <w:t xml:space="preserve">    </w:t>
      </w:r>
      <w:r>
        <w:rPr>
          <w:rFonts w:hint="eastAsia" w:ascii="仿宋_GB2312" w:hAnsi="宋体" w:eastAsia="仿宋_GB2312" w:cs="仿宋_GB2312"/>
          <w:color w:val="auto"/>
          <w:sz w:val="28"/>
          <w:szCs w:val="28"/>
          <w:highlight w:val="none"/>
          <w:lang w:bidi="ar"/>
        </w:rPr>
        <w:t>月</w:t>
      </w:r>
      <w:r>
        <w:rPr>
          <w:rFonts w:hint="eastAsia" w:ascii="仿宋_GB2312" w:hAnsi="宋体" w:eastAsia="仿宋_GB2312"/>
          <w:color w:val="auto"/>
          <w:sz w:val="28"/>
          <w:szCs w:val="28"/>
          <w:highlight w:val="none"/>
          <w:u w:val="single"/>
          <w:lang w:bidi="ar"/>
        </w:rPr>
        <w:t xml:space="preserve">   </w:t>
      </w:r>
      <w:r>
        <w:rPr>
          <w:rFonts w:hint="eastAsia" w:ascii="仿宋_GB2312" w:hAnsi="宋体" w:eastAsia="仿宋_GB2312" w:cs="仿宋_GB2312"/>
          <w:color w:val="auto"/>
          <w:sz w:val="28"/>
          <w:szCs w:val="28"/>
          <w:highlight w:val="none"/>
          <w:lang w:bidi="ar"/>
        </w:rPr>
        <w:t>日</w:t>
      </w:r>
    </w:p>
    <w:p w14:paraId="185C5888">
      <w:pPr>
        <w:spacing w:line="52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bidi="ar"/>
        </w:rPr>
        <w:t xml:space="preserve"> </w:t>
      </w:r>
    </w:p>
    <w:tbl>
      <w:tblPr>
        <w:tblStyle w:val="15"/>
        <w:tblpPr w:leftFromText="180" w:rightFromText="180" w:vertAnchor="text" w:horzAnchor="page" w:tblpX="1754" w:tblpY="525"/>
        <w:tblOverlap w:val="never"/>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0D1E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cBorders>
            <w:shd w:val="clear" w:color="auto" w:fill="auto"/>
          </w:tcPr>
          <w:p w14:paraId="283D8408">
            <w:pPr>
              <w:spacing w:line="300" w:lineRule="auto"/>
              <w:rPr>
                <w:rFonts w:ascii="仿宋_GB2312" w:hAnsi="宋体" w:eastAsia="仿宋_GB2312"/>
                <w:color w:val="auto"/>
                <w:sz w:val="24"/>
                <w:highlight w:val="none"/>
              </w:rPr>
            </w:pPr>
            <w:r>
              <w:rPr>
                <w:rFonts w:hint="eastAsia" w:ascii="仿宋_GB2312" w:hAnsi="宋体" w:eastAsia="仿宋_GB2312" w:cs="仿宋_GB2312"/>
                <w:color w:val="auto"/>
                <w:sz w:val="24"/>
                <w:highlight w:val="none"/>
                <w:lang w:bidi="ar"/>
              </w:rPr>
              <w:t>法定代表人身份证（复印件）粘贴处：</w:t>
            </w:r>
          </w:p>
          <w:p w14:paraId="2E856B8E">
            <w:pPr>
              <w:spacing w:line="300" w:lineRule="auto"/>
              <w:rPr>
                <w:rFonts w:ascii="仿宋_GB2312" w:hAnsi="宋体" w:eastAsia="仿宋_GB2312"/>
                <w:color w:val="auto"/>
                <w:sz w:val="24"/>
                <w:highlight w:val="none"/>
              </w:rPr>
            </w:pPr>
          </w:p>
          <w:p w14:paraId="23BF938E">
            <w:pPr>
              <w:spacing w:line="300" w:lineRule="auto"/>
              <w:rPr>
                <w:rFonts w:ascii="仿宋_GB2312" w:hAnsi="宋体" w:eastAsia="仿宋_GB2312"/>
                <w:color w:val="auto"/>
                <w:sz w:val="24"/>
                <w:highlight w:val="none"/>
              </w:rPr>
            </w:pPr>
          </w:p>
          <w:p w14:paraId="07E5E37C">
            <w:pPr>
              <w:spacing w:line="300" w:lineRule="auto"/>
              <w:rPr>
                <w:rFonts w:ascii="仿宋_GB2312" w:hAnsi="宋体" w:eastAsia="仿宋_GB2312"/>
                <w:color w:val="auto"/>
                <w:sz w:val="24"/>
                <w:highlight w:val="none"/>
              </w:rPr>
            </w:pPr>
          </w:p>
          <w:p w14:paraId="5DD21E0A">
            <w:pPr>
              <w:spacing w:line="300" w:lineRule="auto"/>
              <w:rPr>
                <w:rFonts w:ascii="仿宋_GB2312" w:hAnsi="宋体" w:eastAsia="仿宋_GB2312"/>
                <w:color w:val="auto"/>
                <w:sz w:val="24"/>
                <w:highlight w:val="none"/>
              </w:rPr>
            </w:pPr>
          </w:p>
          <w:p w14:paraId="23871AA7">
            <w:pPr>
              <w:spacing w:line="300" w:lineRule="auto"/>
              <w:rPr>
                <w:rFonts w:ascii="仿宋_GB2312" w:hAnsi="宋体" w:eastAsia="仿宋_GB2312"/>
                <w:color w:val="auto"/>
                <w:sz w:val="24"/>
                <w:highlight w:val="none"/>
              </w:rPr>
            </w:pPr>
          </w:p>
          <w:p w14:paraId="7D0E8713">
            <w:pPr>
              <w:spacing w:line="300" w:lineRule="auto"/>
              <w:rPr>
                <w:rFonts w:ascii="仿宋_GB2312" w:hAnsi="宋体" w:eastAsia="仿宋_GB2312"/>
                <w:color w:val="auto"/>
                <w:sz w:val="24"/>
                <w:highlight w:val="none"/>
              </w:rPr>
            </w:pPr>
          </w:p>
          <w:p w14:paraId="78B95E5C">
            <w:pPr>
              <w:spacing w:line="300" w:lineRule="auto"/>
              <w:rPr>
                <w:rFonts w:ascii="仿宋_GB2312" w:hAnsi="宋体" w:eastAsia="仿宋_GB2312"/>
                <w:color w:val="auto"/>
                <w:sz w:val="24"/>
                <w:highlight w:val="none"/>
              </w:rPr>
            </w:pPr>
          </w:p>
          <w:p w14:paraId="2BA11931">
            <w:pPr>
              <w:spacing w:line="300" w:lineRule="auto"/>
              <w:rPr>
                <w:rFonts w:ascii="仿宋_GB2312" w:hAnsi="宋体" w:eastAsia="仿宋_GB2312"/>
                <w:color w:val="auto"/>
                <w:sz w:val="24"/>
                <w:highlight w:val="none"/>
              </w:rPr>
            </w:pPr>
            <w:r>
              <w:rPr>
                <w:rFonts w:hint="eastAsia" w:ascii="仿宋_GB2312" w:hAnsi="宋体" w:eastAsia="仿宋_GB2312" w:cs="仿宋_GB2312"/>
                <w:color w:val="auto"/>
                <w:sz w:val="24"/>
                <w:highlight w:val="none"/>
                <w:lang w:bidi="ar"/>
              </w:rPr>
              <w:t>被授权人身份证（复印件）粘贴处：</w:t>
            </w:r>
          </w:p>
        </w:tc>
      </w:tr>
    </w:tbl>
    <w:p w14:paraId="3659C5EB">
      <w:pPr>
        <w:spacing w:before="156" w:beforeLines="50" w:after="156" w:afterLines="50" w:line="560" w:lineRule="exact"/>
        <w:jc w:val="left"/>
        <w:rPr>
          <w:rFonts w:ascii="仿宋_GB2312" w:hAnsi="宋体" w:eastAsia="仿宋_GB2312" w:cs="仿宋_GB2312"/>
          <w:color w:val="auto"/>
          <w:sz w:val="32"/>
          <w:szCs w:val="32"/>
          <w:highlight w:val="none"/>
          <w:lang w:bidi="ar"/>
        </w:rPr>
      </w:pPr>
    </w:p>
    <w:p w14:paraId="1BFF9F18">
      <w:pPr>
        <w:spacing w:line="560" w:lineRule="exact"/>
        <w:ind w:firstLine="2200" w:firstLineChars="500"/>
        <w:rPr>
          <w:rFonts w:ascii="方正小标宋_GBK" w:hAnsi="方正小标宋_GBK" w:eastAsia="方正小标宋_GBK" w:cs="方正小标宋_GBK"/>
          <w:color w:val="auto"/>
          <w:sz w:val="44"/>
          <w:szCs w:val="44"/>
          <w:highlight w:val="none"/>
          <w:lang w:bidi="ar"/>
        </w:rPr>
      </w:pPr>
      <w:r>
        <w:rPr>
          <w:rFonts w:hint="eastAsia" w:ascii="方正小标宋_GBK" w:hAnsi="方正小标宋_GBK" w:eastAsia="方正小标宋_GBK" w:cs="方正小标宋_GBK"/>
          <w:color w:val="auto"/>
          <w:sz w:val="44"/>
          <w:szCs w:val="44"/>
          <w:highlight w:val="none"/>
          <w:lang w:bidi="ar"/>
        </w:rPr>
        <w:t>供应商基本情况表</w:t>
      </w:r>
    </w:p>
    <w:tbl>
      <w:tblPr>
        <w:tblStyle w:val="16"/>
        <w:tblpPr w:leftFromText="180" w:rightFromText="180" w:vertAnchor="text" w:horzAnchor="page" w:tblpX="1421" w:tblpY="621"/>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14:paraId="4CA7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125DA9A7">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采购人</w:t>
            </w:r>
          </w:p>
        </w:tc>
        <w:tc>
          <w:tcPr>
            <w:tcW w:w="2553" w:type="dxa"/>
            <w:gridSpan w:val="2"/>
            <w:vAlign w:val="center"/>
          </w:tcPr>
          <w:p w14:paraId="0D22D82B">
            <w:pPr>
              <w:jc w:val="center"/>
              <w:rPr>
                <w:rFonts w:ascii="方正仿宋_GBK" w:hAnsi="方正仿宋_GBK" w:eastAsia="方正仿宋_GBK" w:cs="方正仿宋_GBK"/>
                <w:color w:val="auto"/>
                <w:sz w:val="24"/>
                <w:highlight w:val="none"/>
              </w:rPr>
            </w:pPr>
          </w:p>
        </w:tc>
        <w:tc>
          <w:tcPr>
            <w:tcW w:w="1991" w:type="dxa"/>
            <w:gridSpan w:val="2"/>
            <w:vAlign w:val="center"/>
          </w:tcPr>
          <w:p w14:paraId="2E20D4CC">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项目名称</w:t>
            </w:r>
          </w:p>
        </w:tc>
        <w:tc>
          <w:tcPr>
            <w:tcW w:w="2985" w:type="dxa"/>
            <w:gridSpan w:val="2"/>
            <w:vAlign w:val="center"/>
          </w:tcPr>
          <w:p w14:paraId="3C3EE79A">
            <w:pPr>
              <w:jc w:val="center"/>
              <w:rPr>
                <w:rFonts w:ascii="方正仿宋_GBK" w:hAnsi="方正仿宋_GBK" w:eastAsia="方正仿宋_GBK" w:cs="方正仿宋_GBK"/>
                <w:color w:val="auto"/>
                <w:sz w:val="24"/>
                <w:highlight w:val="none"/>
              </w:rPr>
            </w:pPr>
          </w:p>
        </w:tc>
      </w:tr>
      <w:tr w14:paraId="68BD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4CA41242">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投标（响应）供应商</w:t>
            </w:r>
          </w:p>
        </w:tc>
        <w:tc>
          <w:tcPr>
            <w:tcW w:w="2553" w:type="dxa"/>
            <w:gridSpan w:val="2"/>
            <w:vAlign w:val="center"/>
          </w:tcPr>
          <w:p w14:paraId="5C604462">
            <w:pPr>
              <w:jc w:val="center"/>
              <w:rPr>
                <w:rFonts w:ascii="方正仿宋_GBK" w:hAnsi="方正仿宋_GBK" w:eastAsia="方正仿宋_GBK" w:cs="方正仿宋_GBK"/>
                <w:color w:val="auto"/>
                <w:sz w:val="24"/>
                <w:highlight w:val="none"/>
              </w:rPr>
            </w:pPr>
          </w:p>
        </w:tc>
        <w:tc>
          <w:tcPr>
            <w:tcW w:w="1991" w:type="dxa"/>
            <w:gridSpan w:val="2"/>
            <w:vAlign w:val="center"/>
          </w:tcPr>
          <w:p w14:paraId="5C6B08B6">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供应商统一社会信用代码</w:t>
            </w:r>
          </w:p>
        </w:tc>
        <w:tc>
          <w:tcPr>
            <w:tcW w:w="2985" w:type="dxa"/>
            <w:gridSpan w:val="2"/>
            <w:vAlign w:val="center"/>
          </w:tcPr>
          <w:p w14:paraId="7B45BABB">
            <w:pPr>
              <w:jc w:val="center"/>
              <w:rPr>
                <w:rFonts w:ascii="方正仿宋_GBK" w:hAnsi="方正仿宋_GBK" w:eastAsia="方正仿宋_GBK" w:cs="方正仿宋_GBK"/>
                <w:color w:val="auto"/>
                <w:sz w:val="24"/>
                <w:highlight w:val="none"/>
              </w:rPr>
            </w:pPr>
          </w:p>
        </w:tc>
      </w:tr>
      <w:tr w14:paraId="01D9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6D106E5A">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投标（响应）供应商相关人员情况</w:t>
            </w:r>
          </w:p>
        </w:tc>
      </w:tr>
      <w:tr w14:paraId="3841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5490C6C3">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序号</w:t>
            </w:r>
          </w:p>
        </w:tc>
        <w:tc>
          <w:tcPr>
            <w:tcW w:w="2282" w:type="dxa"/>
            <w:gridSpan w:val="2"/>
            <w:tcBorders>
              <w:bottom w:val="single" w:color="auto" w:sz="4" w:space="0"/>
            </w:tcBorders>
            <w:vAlign w:val="center"/>
          </w:tcPr>
          <w:p w14:paraId="14219367">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职务</w:t>
            </w:r>
          </w:p>
        </w:tc>
        <w:tc>
          <w:tcPr>
            <w:tcW w:w="947" w:type="dxa"/>
            <w:tcBorders>
              <w:bottom w:val="single" w:color="auto" w:sz="4" w:space="0"/>
            </w:tcBorders>
            <w:vAlign w:val="center"/>
          </w:tcPr>
          <w:p w14:paraId="0ECA1B07">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姓名</w:t>
            </w:r>
          </w:p>
        </w:tc>
        <w:tc>
          <w:tcPr>
            <w:tcW w:w="1991" w:type="dxa"/>
            <w:gridSpan w:val="2"/>
            <w:tcBorders>
              <w:bottom w:val="single" w:color="auto" w:sz="4" w:space="0"/>
            </w:tcBorders>
            <w:vAlign w:val="center"/>
          </w:tcPr>
          <w:p w14:paraId="489963F1">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身份证号码</w:t>
            </w:r>
          </w:p>
        </w:tc>
        <w:tc>
          <w:tcPr>
            <w:tcW w:w="1500" w:type="dxa"/>
            <w:tcBorders>
              <w:bottom w:val="single" w:color="auto" w:sz="4" w:space="0"/>
            </w:tcBorders>
            <w:vAlign w:val="center"/>
          </w:tcPr>
          <w:p w14:paraId="3ADD62F1">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劳动合同</w:t>
            </w:r>
          </w:p>
          <w:p w14:paraId="5F65B279">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关系单位</w:t>
            </w:r>
          </w:p>
        </w:tc>
        <w:tc>
          <w:tcPr>
            <w:tcW w:w="1485" w:type="dxa"/>
            <w:tcBorders>
              <w:bottom w:val="single" w:color="auto" w:sz="4" w:space="0"/>
            </w:tcBorders>
            <w:vAlign w:val="center"/>
          </w:tcPr>
          <w:p w14:paraId="6804C4C7">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缴纳社会</w:t>
            </w:r>
          </w:p>
          <w:p w14:paraId="7BC10842">
            <w:pPr>
              <w:snapToGrid w:val="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保险单位</w:t>
            </w:r>
          </w:p>
        </w:tc>
      </w:tr>
      <w:tr w14:paraId="66A5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3C44895D">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094EF642">
            <w:pPr>
              <w:spacing w:line="460" w:lineRule="exact"/>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2"/>
                <w:szCs w:val="22"/>
                <w:highlight w:val="none"/>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14:paraId="4D57C47B">
            <w:pPr>
              <w:jc w:val="center"/>
              <w:rPr>
                <w:rFonts w:ascii="方正仿宋_GBK" w:hAnsi="方正仿宋_GBK" w:eastAsia="方正仿宋_GBK" w:cs="方正仿宋_GBK"/>
                <w:color w:val="auto"/>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5E8D840">
            <w:pPr>
              <w:jc w:val="center"/>
              <w:rPr>
                <w:rFonts w:ascii="方正仿宋_GBK" w:hAnsi="方正仿宋_GBK" w:eastAsia="方正仿宋_GBK" w:cs="方正仿宋_GBK"/>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0BEC9C33">
            <w:pPr>
              <w:jc w:val="center"/>
              <w:rPr>
                <w:rFonts w:ascii="方正仿宋_GBK" w:hAnsi="方正仿宋_GBK" w:eastAsia="方正仿宋_GBK" w:cs="方正仿宋_GBK"/>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157D42A4">
            <w:pPr>
              <w:jc w:val="center"/>
              <w:rPr>
                <w:rFonts w:ascii="方正仿宋_GBK" w:hAnsi="方正仿宋_GBK" w:eastAsia="方正仿宋_GBK" w:cs="方正仿宋_GBK"/>
                <w:color w:val="auto"/>
                <w:sz w:val="24"/>
                <w:highlight w:val="none"/>
              </w:rPr>
            </w:pPr>
          </w:p>
        </w:tc>
      </w:tr>
      <w:tr w14:paraId="49C2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24CA2F7F">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0E6DBC49">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14:paraId="34C31201">
            <w:pPr>
              <w:jc w:val="center"/>
              <w:rPr>
                <w:rFonts w:ascii="方正仿宋_GBK" w:hAnsi="方正仿宋_GBK" w:eastAsia="方正仿宋_GBK" w:cs="方正仿宋_GBK"/>
                <w:color w:val="auto"/>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A46E356">
            <w:pPr>
              <w:jc w:val="center"/>
              <w:rPr>
                <w:rFonts w:ascii="方正仿宋_GBK" w:hAnsi="方正仿宋_GBK" w:eastAsia="方正仿宋_GBK" w:cs="方正仿宋_GBK"/>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4F747644">
            <w:pPr>
              <w:jc w:val="center"/>
              <w:rPr>
                <w:rFonts w:ascii="方正仿宋_GBK" w:hAnsi="方正仿宋_GBK" w:eastAsia="方正仿宋_GBK" w:cs="方正仿宋_GBK"/>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01982E42">
            <w:pPr>
              <w:jc w:val="center"/>
              <w:rPr>
                <w:rFonts w:ascii="方正仿宋_GBK" w:hAnsi="方正仿宋_GBK" w:eastAsia="方正仿宋_GBK" w:cs="方正仿宋_GBK"/>
                <w:color w:val="auto"/>
                <w:sz w:val="24"/>
                <w:highlight w:val="none"/>
              </w:rPr>
            </w:pPr>
          </w:p>
        </w:tc>
      </w:tr>
      <w:tr w14:paraId="4358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14:paraId="03AC66B6">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bidi="ar"/>
              </w:rPr>
              <w:t>3</w:t>
            </w:r>
          </w:p>
        </w:tc>
        <w:tc>
          <w:tcPr>
            <w:tcW w:w="2282" w:type="dxa"/>
            <w:gridSpan w:val="2"/>
            <w:tcBorders>
              <w:top w:val="single" w:color="auto" w:sz="4" w:space="0"/>
            </w:tcBorders>
            <w:vAlign w:val="center"/>
          </w:tcPr>
          <w:p w14:paraId="472DA351">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项目负责人</w:t>
            </w:r>
          </w:p>
        </w:tc>
        <w:tc>
          <w:tcPr>
            <w:tcW w:w="947" w:type="dxa"/>
            <w:tcBorders>
              <w:top w:val="single" w:color="auto" w:sz="4" w:space="0"/>
            </w:tcBorders>
            <w:vAlign w:val="center"/>
          </w:tcPr>
          <w:p w14:paraId="425B837F">
            <w:pPr>
              <w:jc w:val="center"/>
              <w:rPr>
                <w:rFonts w:ascii="方正仿宋_GBK" w:hAnsi="方正仿宋_GBK" w:eastAsia="方正仿宋_GBK" w:cs="方正仿宋_GBK"/>
                <w:color w:val="auto"/>
                <w:sz w:val="24"/>
                <w:highlight w:val="none"/>
              </w:rPr>
            </w:pPr>
          </w:p>
        </w:tc>
        <w:tc>
          <w:tcPr>
            <w:tcW w:w="1991" w:type="dxa"/>
            <w:gridSpan w:val="2"/>
            <w:tcBorders>
              <w:top w:val="single" w:color="auto" w:sz="4" w:space="0"/>
            </w:tcBorders>
            <w:vAlign w:val="center"/>
          </w:tcPr>
          <w:p w14:paraId="69242C04">
            <w:pPr>
              <w:jc w:val="center"/>
              <w:rPr>
                <w:rFonts w:ascii="方正仿宋_GBK" w:hAnsi="方正仿宋_GBK" w:eastAsia="方正仿宋_GBK" w:cs="方正仿宋_GBK"/>
                <w:color w:val="auto"/>
                <w:sz w:val="24"/>
                <w:highlight w:val="none"/>
              </w:rPr>
            </w:pPr>
          </w:p>
        </w:tc>
        <w:tc>
          <w:tcPr>
            <w:tcW w:w="1500" w:type="dxa"/>
            <w:tcBorders>
              <w:top w:val="single" w:color="auto" w:sz="4" w:space="0"/>
            </w:tcBorders>
            <w:vAlign w:val="center"/>
          </w:tcPr>
          <w:p w14:paraId="7D3203D8">
            <w:pPr>
              <w:jc w:val="center"/>
              <w:rPr>
                <w:rFonts w:ascii="方正仿宋_GBK" w:hAnsi="方正仿宋_GBK" w:eastAsia="方正仿宋_GBK" w:cs="方正仿宋_GBK"/>
                <w:color w:val="auto"/>
                <w:sz w:val="24"/>
                <w:highlight w:val="none"/>
              </w:rPr>
            </w:pPr>
          </w:p>
        </w:tc>
        <w:tc>
          <w:tcPr>
            <w:tcW w:w="1485" w:type="dxa"/>
            <w:tcBorders>
              <w:top w:val="single" w:color="auto" w:sz="4" w:space="0"/>
            </w:tcBorders>
            <w:vAlign w:val="center"/>
          </w:tcPr>
          <w:p w14:paraId="50B10AAC">
            <w:pPr>
              <w:jc w:val="center"/>
              <w:rPr>
                <w:rFonts w:ascii="方正仿宋_GBK" w:hAnsi="方正仿宋_GBK" w:eastAsia="方正仿宋_GBK" w:cs="方正仿宋_GBK"/>
                <w:color w:val="auto"/>
                <w:sz w:val="24"/>
                <w:highlight w:val="none"/>
              </w:rPr>
            </w:pPr>
          </w:p>
        </w:tc>
      </w:tr>
      <w:tr w14:paraId="5F05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A440742">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bidi="ar"/>
              </w:rPr>
              <w:t>4</w:t>
            </w:r>
          </w:p>
        </w:tc>
        <w:tc>
          <w:tcPr>
            <w:tcW w:w="2282" w:type="dxa"/>
            <w:gridSpan w:val="2"/>
            <w:vAlign w:val="center"/>
          </w:tcPr>
          <w:p w14:paraId="0E061405">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主要技术人员</w:t>
            </w:r>
          </w:p>
        </w:tc>
        <w:tc>
          <w:tcPr>
            <w:tcW w:w="947" w:type="dxa"/>
            <w:vAlign w:val="center"/>
          </w:tcPr>
          <w:p w14:paraId="730CB998">
            <w:pPr>
              <w:jc w:val="center"/>
              <w:rPr>
                <w:rFonts w:ascii="方正仿宋_GBK" w:hAnsi="方正仿宋_GBK" w:eastAsia="方正仿宋_GBK" w:cs="方正仿宋_GBK"/>
                <w:color w:val="auto"/>
                <w:sz w:val="24"/>
                <w:highlight w:val="none"/>
              </w:rPr>
            </w:pPr>
          </w:p>
        </w:tc>
        <w:tc>
          <w:tcPr>
            <w:tcW w:w="1991" w:type="dxa"/>
            <w:gridSpan w:val="2"/>
            <w:vAlign w:val="center"/>
          </w:tcPr>
          <w:p w14:paraId="3D383788">
            <w:pPr>
              <w:jc w:val="center"/>
              <w:rPr>
                <w:rFonts w:ascii="方正仿宋_GBK" w:hAnsi="方正仿宋_GBK" w:eastAsia="方正仿宋_GBK" w:cs="方正仿宋_GBK"/>
                <w:color w:val="auto"/>
                <w:sz w:val="24"/>
                <w:highlight w:val="none"/>
              </w:rPr>
            </w:pPr>
          </w:p>
        </w:tc>
        <w:tc>
          <w:tcPr>
            <w:tcW w:w="1500" w:type="dxa"/>
            <w:vAlign w:val="center"/>
          </w:tcPr>
          <w:p w14:paraId="4E451DFA">
            <w:pPr>
              <w:jc w:val="center"/>
              <w:rPr>
                <w:rFonts w:ascii="方正仿宋_GBK" w:hAnsi="方正仿宋_GBK" w:eastAsia="方正仿宋_GBK" w:cs="方正仿宋_GBK"/>
                <w:color w:val="auto"/>
                <w:sz w:val="24"/>
                <w:highlight w:val="none"/>
              </w:rPr>
            </w:pPr>
          </w:p>
        </w:tc>
        <w:tc>
          <w:tcPr>
            <w:tcW w:w="1485" w:type="dxa"/>
            <w:vAlign w:val="center"/>
          </w:tcPr>
          <w:p w14:paraId="2FACD2BF">
            <w:pPr>
              <w:jc w:val="center"/>
              <w:rPr>
                <w:rFonts w:ascii="方正仿宋_GBK" w:hAnsi="方正仿宋_GBK" w:eastAsia="方正仿宋_GBK" w:cs="方正仿宋_GBK"/>
                <w:color w:val="auto"/>
                <w:sz w:val="24"/>
                <w:highlight w:val="none"/>
              </w:rPr>
            </w:pPr>
          </w:p>
        </w:tc>
      </w:tr>
      <w:tr w14:paraId="58CE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8CEFF53">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lang w:bidi="ar"/>
              </w:rPr>
              <w:t>5</w:t>
            </w:r>
          </w:p>
        </w:tc>
        <w:tc>
          <w:tcPr>
            <w:tcW w:w="2282" w:type="dxa"/>
            <w:gridSpan w:val="2"/>
            <w:vAlign w:val="center"/>
          </w:tcPr>
          <w:p w14:paraId="2ED125CD">
            <w:pPr>
              <w:pStyle w:val="2"/>
              <w:snapToGrid w:val="0"/>
              <w:ind w:firstLine="0" w:firstLineChars="0"/>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投标文件编制人员</w:t>
            </w:r>
          </w:p>
        </w:tc>
        <w:tc>
          <w:tcPr>
            <w:tcW w:w="947" w:type="dxa"/>
            <w:vAlign w:val="center"/>
          </w:tcPr>
          <w:p w14:paraId="0CC584BC">
            <w:pPr>
              <w:jc w:val="center"/>
              <w:rPr>
                <w:rFonts w:ascii="方正仿宋_GBK" w:hAnsi="方正仿宋_GBK" w:eastAsia="方正仿宋_GBK" w:cs="方正仿宋_GBK"/>
                <w:color w:val="auto"/>
                <w:sz w:val="24"/>
                <w:highlight w:val="none"/>
              </w:rPr>
            </w:pPr>
          </w:p>
        </w:tc>
        <w:tc>
          <w:tcPr>
            <w:tcW w:w="1991" w:type="dxa"/>
            <w:gridSpan w:val="2"/>
            <w:vAlign w:val="center"/>
          </w:tcPr>
          <w:p w14:paraId="425B524A">
            <w:pPr>
              <w:jc w:val="center"/>
              <w:rPr>
                <w:rFonts w:ascii="方正仿宋_GBK" w:hAnsi="方正仿宋_GBK" w:eastAsia="方正仿宋_GBK" w:cs="方正仿宋_GBK"/>
                <w:color w:val="auto"/>
                <w:sz w:val="24"/>
                <w:highlight w:val="none"/>
              </w:rPr>
            </w:pPr>
          </w:p>
        </w:tc>
        <w:tc>
          <w:tcPr>
            <w:tcW w:w="1500" w:type="dxa"/>
            <w:vAlign w:val="center"/>
          </w:tcPr>
          <w:p w14:paraId="3BEDDE37">
            <w:pPr>
              <w:jc w:val="center"/>
              <w:rPr>
                <w:rFonts w:ascii="方正仿宋_GBK" w:hAnsi="方正仿宋_GBK" w:eastAsia="方正仿宋_GBK" w:cs="方正仿宋_GBK"/>
                <w:color w:val="auto"/>
                <w:sz w:val="24"/>
                <w:highlight w:val="none"/>
              </w:rPr>
            </w:pPr>
          </w:p>
        </w:tc>
        <w:tc>
          <w:tcPr>
            <w:tcW w:w="1485" w:type="dxa"/>
            <w:vAlign w:val="center"/>
          </w:tcPr>
          <w:p w14:paraId="21CFE1FC">
            <w:pPr>
              <w:jc w:val="center"/>
              <w:rPr>
                <w:rFonts w:ascii="方正仿宋_GBK" w:hAnsi="方正仿宋_GBK" w:eastAsia="方正仿宋_GBK" w:cs="方正仿宋_GBK"/>
                <w:color w:val="auto"/>
                <w:sz w:val="24"/>
                <w:highlight w:val="none"/>
              </w:rPr>
            </w:pPr>
          </w:p>
        </w:tc>
      </w:tr>
      <w:tr w14:paraId="6F3C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30B78981">
            <w:pPr>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说明：同一职务有多人担任（如主要技术人员），应分行填写。</w:t>
            </w:r>
          </w:p>
        </w:tc>
      </w:tr>
      <w:tr w14:paraId="4691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62A616B2">
            <w:pPr>
              <w:jc w:val="center"/>
              <w:rPr>
                <w:rFonts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投标（响应）供应商关联关系情况</w:t>
            </w:r>
          </w:p>
        </w:tc>
      </w:tr>
      <w:tr w14:paraId="718B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20D1BF4D">
            <w:pPr>
              <w:jc w:val="center"/>
              <w:rPr>
                <w:rFonts w:ascii="方正仿宋_GBK" w:hAnsi="方正仿宋_GBK" w:eastAsia="方正仿宋_GBK" w:cs="方正仿宋_GBK"/>
                <w:color w:val="auto"/>
                <w:sz w:val="24"/>
                <w:highlight w:val="none"/>
                <w:lang w:bidi="ar"/>
              </w:rPr>
            </w:pPr>
            <w:r>
              <w:rPr>
                <w:rFonts w:hint="eastAsia" w:ascii="方正仿宋_GBK" w:hAnsi="方正仿宋_GBK" w:eastAsia="方正仿宋_GBK" w:cs="方正仿宋_GBK"/>
                <w:color w:val="auto"/>
                <w:sz w:val="24"/>
                <w:highlight w:val="none"/>
                <w:lang w:bidi="ar"/>
              </w:rPr>
              <w:t>序号</w:t>
            </w:r>
          </w:p>
        </w:tc>
        <w:tc>
          <w:tcPr>
            <w:tcW w:w="2282" w:type="dxa"/>
            <w:gridSpan w:val="2"/>
            <w:tcBorders>
              <w:bottom w:val="single" w:color="auto" w:sz="4" w:space="0"/>
            </w:tcBorders>
            <w:vAlign w:val="center"/>
          </w:tcPr>
          <w:p w14:paraId="16B15EAB">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关联关系类型</w:t>
            </w:r>
          </w:p>
        </w:tc>
        <w:tc>
          <w:tcPr>
            <w:tcW w:w="1738" w:type="dxa"/>
            <w:gridSpan w:val="2"/>
            <w:tcBorders>
              <w:bottom w:val="single" w:color="auto" w:sz="4" w:space="0"/>
            </w:tcBorders>
            <w:vAlign w:val="center"/>
          </w:tcPr>
          <w:p w14:paraId="2059D6C1">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关联主体名称</w:t>
            </w:r>
          </w:p>
        </w:tc>
        <w:tc>
          <w:tcPr>
            <w:tcW w:w="4185" w:type="dxa"/>
            <w:gridSpan w:val="3"/>
            <w:tcBorders>
              <w:bottom w:val="single" w:color="auto" w:sz="4" w:space="0"/>
            </w:tcBorders>
            <w:vAlign w:val="center"/>
          </w:tcPr>
          <w:p w14:paraId="39B4D5B8">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备注</w:t>
            </w:r>
          </w:p>
        </w:tc>
      </w:tr>
      <w:tr w14:paraId="77D3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2C8622DF">
            <w:pPr>
              <w:jc w:val="center"/>
              <w:rPr>
                <w:rFonts w:ascii="方正仿宋_GBK" w:hAnsi="方正仿宋_GBK" w:eastAsia="方正仿宋_GBK" w:cs="方正仿宋_GBK"/>
                <w:color w:val="auto"/>
                <w:sz w:val="24"/>
                <w:highlight w:val="none"/>
                <w:lang w:bidi="ar"/>
              </w:rPr>
            </w:pPr>
            <w:r>
              <w:rPr>
                <w:rFonts w:hint="eastAsia" w:ascii="方正仿宋_GBK" w:hAnsi="方正仿宋_GBK" w:eastAsia="方正仿宋_GBK" w:cs="方正仿宋_GBK"/>
                <w:color w:val="auto"/>
                <w:sz w:val="24"/>
                <w:highlight w:val="none"/>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0F2437D7">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426F4F52">
            <w:pPr>
              <w:jc w:val="center"/>
              <w:rPr>
                <w:rFonts w:ascii="方正仿宋_GBK" w:hAnsi="方正仿宋_GBK" w:eastAsia="方正仿宋_GBK" w:cs="方正仿宋_GBK"/>
                <w:color w:val="auto"/>
                <w:sz w:val="24"/>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3723EFF0">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18"/>
                <w:szCs w:val="18"/>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040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11F4FC9">
            <w:pPr>
              <w:jc w:val="center"/>
              <w:rPr>
                <w:rFonts w:ascii="方正仿宋_GBK" w:hAnsi="方正仿宋_GBK" w:eastAsia="方正仿宋_GBK" w:cs="方正仿宋_GBK"/>
                <w:color w:val="auto"/>
                <w:sz w:val="24"/>
                <w:highlight w:val="none"/>
                <w:lang w:bidi="ar"/>
              </w:rPr>
            </w:pPr>
            <w:r>
              <w:rPr>
                <w:rFonts w:hint="eastAsia" w:ascii="方正仿宋_GBK" w:hAnsi="方正仿宋_GBK" w:eastAsia="方正仿宋_GBK" w:cs="方正仿宋_GBK"/>
                <w:color w:val="auto"/>
                <w:sz w:val="24"/>
                <w:highlight w:val="none"/>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20E47032">
            <w:pPr>
              <w:jc w:val="cente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3E9E5C63">
            <w:pPr>
              <w:jc w:val="center"/>
              <w:rPr>
                <w:rFonts w:ascii="方正仿宋_GBK" w:hAnsi="方正仿宋_GBK" w:eastAsia="方正仿宋_GBK" w:cs="方正仿宋_GBK"/>
                <w:color w:val="auto"/>
                <w:sz w:val="24"/>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54F868E5">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指对投标（响应）供应商不具有出资持股关系，但对其存在管理关系的主体。</w:t>
            </w:r>
          </w:p>
        </w:tc>
      </w:tr>
      <w:tr w14:paraId="6A55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16D8EDF7">
            <w:pPr>
              <w:snapToGrid w:val="0"/>
              <w:jc w:val="lef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说明：同一关联关系类型有多个主体的，应分行填写。</w:t>
            </w:r>
          </w:p>
        </w:tc>
      </w:tr>
    </w:tbl>
    <w:p w14:paraId="272A4E0D">
      <w:pPr>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填表单位：（加盖单位公章）</w:t>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tab/>
      </w:r>
      <w:r>
        <w:rPr>
          <w:rFonts w:hint="eastAsia" w:ascii="方正仿宋_GBK" w:hAnsi="方正仿宋_GBK" w:eastAsia="方正仿宋_GBK" w:cs="方正仿宋_GBK"/>
          <w:color w:val="auto"/>
          <w:sz w:val="28"/>
          <w:szCs w:val="28"/>
          <w:highlight w:val="none"/>
        </w:rPr>
        <w:t xml:space="preserve">   填表日期：    年   月   日</w:t>
      </w:r>
    </w:p>
    <w:p w14:paraId="24A95BF9">
      <w:pPr>
        <w:autoSpaceDE w:val="0"/>
        <w:autoSpaceDN w:val="0"/>
        <w:adjustRightInd w:val="0"/>
        <w:spacing w:line="579" w:lineRule="exact"/>
        <w:ind w:firstLine="800" w:firstLineChars="200"/>
        <w:rPr>
          <w:rFonts w:ascii="方正小标宋_GBK" w:hAnsi="方正小标宋_GBK" w:eastAsia="方正小标宋_GBK" w:cs="方正小标宋_GBK"/>
          <w:color w:val="auto"/>
          <w:kern w:val="0"/>
          <w:sz w:val="40"/>
          <w:szCs w:val="40"/>
          <w:highlight w:val="none"/>
          <w:lang w:bidi="ar"/>
        </w:rPr>
      </w:pPr>
    </w:p>
    <w:p w14:paraId="2E742EB0">
      <w:pPr>
        <w:autoSpaceDE w:val="0"/>
        <w:autoSpaceDN w:val="0"/>
        <w:adjustRightInd w:val="0"/>
        <w:spacing w:line="579" w:lineRule="exact"/>
        <w:ind w:firstLine="800" w:firstLineChars="200"/>
        <w:rPr>
          <w:rFonts w:ascii="方正小标宋_GBK" w:hAnsi="方正小标宋_GBK" w:eastAsia="方正小标宋_GBK" w:cs="方正小标宋_GBK"/>
          <w:color w:val="auto"/>
          <w:kern w:val="0"/>
          <w:sz w:val="40"/>
          <w:szCs w:val="40"/>
          <w:highlight w:val="none"/>
        </w:rPr>
      </w:pPr>
      <w:r>
        <w:rPr>
          <w:rFonts w:hint="eastAsia" w:ascii="方正小标宋_GBK" w:hAnsi="方正小标宋_GBK" w:eastAsia="方正小标宋_GBK" w:cs="方正小标宋_GBK"/>
          <w:color w:val="auto"/>
          <w:kern w:val="0"/>
          <w:sz w:val="40"/>
          <w:szCs w:val="40"/>
          <w:highlight w:val="none"/>
          <w:lang w:bidi="ar"/>
        </w:rPr>
        <w:t>政府采购违法行为风险知悉确认书</w:t>
      </w:r>
    </w:p>
    <w:p w14:paraId="51E69B26">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 xml:space="preserve"> </w:t>
      </w:r>
    </w:p>
    <w:p w14:paraId="79938A44">
      <w:pPr>
        <w:spacing w:line="579" w:lineRule="exact"/>
        <w:ind w:firstLine="640" w:firstLineChars="200"/>
        <w:rPr>
          <w:rFonts w:ascii="仿宋_GB2312" w:hAnsi="Times New Roman" w:eastAsia="仿宋_GB2312" w:cs="仿宋_GB2312"/>
          <w:color w:val="auto"/>
          <w:kern w:val="0"/>
          <w:sz w:val="32"/>
          <w:szCs w:val="32"/>
          <w:highlight w:val="none"/>
        </w:rPr>
      </w:pPr>
      <w:r>
        <w:rPr>
          <w:rFonts w:hint="eastAsia" w:ascii="仿宋_GB2312" w:hAnsi="Times New Roman" w:eastAsia="仿宋_GB2312" w:cs="仿宋_GB2312"/>
          <w:color w:val="auto"/>
          <w:sz w:val="32"/>
          <w:szCs w:val="32"/>
          <w:highlight w:val="none"/>
          <w:lang w:bidi="ar"/>
        </w:rPr>
        <w:t>本公司在投标前已充分知悉以下情形为参与政府采购活动时的重大风险事项，并承诺已对下述风险提示事项重点排查，做到严谨、诚信、依法依规参与政府采购活动。</w:t>
      </w:r>
    </w:p>
    <w:p w14:paraId="346642D2">
      <w:pPr>
        <w:spacing w:line="579" w:lineRule="exact"/>
        <w:ind w:firstLine="643"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b/>
          <w:bCs/>
          <w:color w:val="auto"/>
          <w:sz w:val="32"/>
          <w:szCs w:val="32"/>
          <w:highlight w:val="none"/>
          <w:lang w:bidi="ar"/>
        </w:rPr>
        <w:t>一、本公司已充分知悉“隐瞒真实情况，提供虚假资料”的法定情形，相关情形包括但不限于</w:t>
      </w:r>
      <w:r>
        <w:rPr>
          <w:rFonts w:hint="eastAsia" w:ascii="仿宋_GB2312" w:hAnsi="Times New Roman" w:eastAsia="仿宋_GB2312" w:cs="仿宋_GB2312"/>
          <w:color w:val="auto"/>
          <w:sz w:val="32"/>
          <w:szCs w:val="32"/>
          <w:highlight w:val="none"/>
          <w:lang w:bidi="ar"/>
        </w:rPr>
        <w:t>：</w:t>
      </w:r>
    </w:p>
    <w:p w14:paraId="381B372B">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（一）通过转让或者租借等方式从其他单位获取资格或者资质证书投标的。</w:t>
      </w:r>
    </w:p>
    <w:p w14:paraId="64B54289">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（二）由其他单位或者其他单位负责人在投标供应商编制的投标文件上加盖印章或者签字的。</w:t>
      </w:r>
    </w:p>
    <w:p w14:paraId="622D7C96">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（三）项目负责人或者主要技术人员不是本单位人员的。</w:t>
      </w:r>
    </w:p>
    <w:p w14:paraId="296D4EA3">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（四）投标保证金不是从投标供应商基本账户转出的。</w:t>
      </w:r>
    </w:p>
    <w:p w14:paraId="5E210F52">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（五）其他隐瞒真实情况、提供虚假资料的行为。</w:t>
      </w:r>
    </w:p>
    <w:p w14:paraId="2E24BCB4">
      <w:pPr>
        <w:spacing w:line="579" w:lineRule="exact"/>
        <w:ind w:firstLine="643"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b/>
          <w:bCs/>
          <w:color w:val="auto"/>
          <w:sz w:val="32"/>
          <w:szCs w:val="32"/>
          <w:highlight w:val="none"/>
          <w:lang w:bidi="ar"/>
        </w:rPr>
        <w:t>二、本公司已充分知悉“与其他采购参加人串通投标”的法定情形，相关情形包括但不限于：</w:t>
      </w:r>
    </w:p>
    <w:p w14:paraId="288DFBC2">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 xml:space="preserve">（一）投标供应商之间相互约定给予未中标的供应商利益补偿。 </w:t>
      </w:r>
    </w:p>
    <w:p w14:paraId="3B1D28CC">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（二）不同投标供应商的法定代表人、主要经营负责人、项目投标授权代表人、项目负责人、主要技术人员为同一人、属同一单位或者在同一单位缴纳社会保险。</w:t>
      </w:r>
    </w:p>
    <w:p w14:paraId="61AD4263">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（三）不同投标供应商的投标文件由同一单位或者同一人编制，或者由同一人分阶段参与编制的。</w:t>
      </w:r>
    </w:p>
    <w:p w14:paraId="60936676">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（四）不同投标供应商的投标文件或部分投标文件相互混装。</w:t>
      </w:r>
    </w:p>
    <w:p w14:paraId="55B7BE40">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（五）不同投标供应商的投标文件内容存在非正常一致。</w:t>
      </w:r>
    </w:p>
    <w:p w14:paraId="510CD462">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（六）由同一单位工作人员为两家以上（含两家）供应商进行同一项投标活动的。</w:t>
      </w:r>
    </w:p>
    <w:p w14:paraId="2117DD84">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（七）不同投标人的投标报价呈规律性差异。</w:t>
      </w:r>
    </w:p>
    <w:p w14:paraId="4C75B226">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（八）不同投标人的投标保证金从同一单位或者个人的账户转出。</w:t>
      </w:r>
    </w:p>
    <w:p w14:paraId="5FB82573">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（九）主管部门依照法律、法规认定的其他情形。</w:t>
      </w:r>
    </w:p>
    <w:p w14:paraId="7B11C788">
      <w:pPr>
        <w:spacing w:line="579" w:lineRule="exact"/>
        <w:ind w:firstLine="643" w:firstLineChars="200"/>
        <w:rPr>
          <w:rFonts w:ascii="仿宋_GB2312" w:hAnsi="Times New Roman" w:eastAsia="仿宋_GB2312" w:cs="仿宋_GB2312"/>
          <w:b/>
          <w:bCs/>
          <w:color w:val="auto"/>
          <w:sz w:val="32"/>
          <w:szCs w:val="32"/>
          <w:highlight w:val="none"/>
        </w:rPr>
      </w:pPr>
      <w:r>
        <w:rPr>
          <w:rFonts w:hint="eastAsia" w:ascii="仿宋_GB2312" w:hAnsi="Times New Roman" w:eastAsia="仿宋_GB2312" w:cs="仿宋_GB2312"/>
          <w:b/>
          <w:bCs/>
          <w:color w:val="auto"/>
          <w:sz w:val="32"/>
          <w:szCs w:val="32"/>
          <w:highlight w:val="none"/>
          <w:lang w:bidi="ar"/>
        </w:rPr>
        <w:t>三、本公司已充分知悉下列情形所对应的法律风险，并在投标前已对相关风险事项进行排查。</w:t>
      </w:r>
    </w:p>
    <w:p w14:paraId="5CC841FF">
      <w:pPr>
        <w:spacing w:line="579" w:lineRule="exact"/>
        <w:ind w:firstLine="640" w:firstLineChars="200"/>
        <w:rPr>
          <w:rFonts w:ascii="仿宋_GB2312" w:hAnsi="Times New Roman" w:eastAsia="仿宋_GB2312" w:cs="仿宋_GB2312"/>
          <w:b/>
          <w:bCs/>
          <w:color w:val="auto"/>
          <w:sz w:val="32"/>
          <w:szCs w:val="32"/>
          <w:highlight w:val="none"/>
        </w:rPr>
      </w:pPr>
      <w:r>
        <w:rPr>
          <w:rFonts w:hint="eastAsia" w:ascii="仿宋_GB2312" w:hAnsi="Times New Roman" w:eastAsia="仿宋_GB2312" w:cs="仿宋_GB2312"/>
          <w:color w:val="auto"/>
          <w:sz w:val="32"/>
          <w:szCs w:val="32"/>
          <w:highlight w:val="none"/>
          <w:lang w:bidi="ar"/>
        </w:rPr>
        <w:t>（一）对于从其他主体获取的投标资料，供应商应审慎核查，确保投标资料的真实性。</w:t>
      </w:r>
      <w:r>
        <w:rPr>
          <w:rFonts w:hint="eastAsia" w:ascii="仿宋_GB2312" w:hAnsi="Times New Roman" w:eastAsia="仿宋_GB2312" w:cs="仿宋_GB2312"/>
          <w:b/>
          <w:bCs/>
          <w:color w:val="auto"/>
          <w:sz w:val="32"/>
          <w:szCs w:val="32"/>
          <w:highlight w:val="none"/>
          <w:lang w:bidi="ar"/>
        </w:rPr>
        <w:t>如主管部门查实投标文件中存在虚假资料的，无论相关资料是否由第三方或本公司员工提供，均不影响主管部门对供应商存在“隐瞒真实情况，提供虚假资料”违法行为的认定。</w:t>
      </w:r>
    </w:p>
    <w:p w14:paraId="6450F3BF">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（二）对于涉及国家机关出具的公文、证件、证明材料等文件，一旦涉嫌虚假，经查实，主管部门将依法从严处理，并移送有关部门追究法律责任；涉嫌犯罪的，主管部门将一并移送司法机关追究法律责任。</w:t>
      </w:r>
    </w:p>
    <w:p w14:paraId="0E58887E">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 xml:space="preserve">（三）对于涉及安全生产、特种作业、抢险救灾、防疫等政府采购项目，供应商实施提供虚假资料、串通投标等违法行为的，主管部门将依法从严处理。 </w:t>
      </w:r>
    </w:p>
    <w:p w14:paraId="65BDFFE9">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FB06E2D">
      <w:pPr>
        <w:spacing w:line="579" w:lineRule="exact"/>
        <w:ind w:firstLine="640" w:firstLineChars="200"/>
        <w:jc w:val="left"/>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59CDF16E">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03B49FA7">
      <w:pPr>
        <w:spacing w:line="579" w:lineRule="exact"/>
        <w:ind w:firstLine="643" w:firstLineChars="200"/>
        <w:rPr>
          <w:rFonts w:ascii="仿宋_GB2312" w:hAnsi="Times New Roman" w:eastAsia="仿宋_GB2312" w:cs="仿宋_GB2312"/>
          <w:b/>
          <w:bCs/>
          <w:color w:val="auto"/>
          <w:sz w:val="32"/>
          <w:szCs w:val="32"/>
          <w:highlight w:val="none"/>
        </w:rPr>
      </w:pPr>
      <w:r>
        <w:rPr>
          <w:rFonts w:hint="eastAsia" w:ascii="仿宋_GB2312" w:hAnsi="Times New Roman" w:eastAsia="仿宋_GB2312" w:cs="仿宋_GB2312"/>
          <w:b/>
          <w:bCs/>
          <w:color w:val="auto"/>
          <w:sz w:val="32"/>
          <w:szCs w:val="32"/>
          <w:highlight w:val="none"/>
          <w:lang w:bidi="ar"/>
        </w:rPr>
        <w:t>四、本公司已充分知悉政府采购违法、违规行为的法律后果。</w:t>
      </w:r>
      <w:r>
        <w:rPr>
          <w:rFonts w:hint="eastAsia" w:ascii="仿宋_GB2312" w:hAnsi="Times New Roman" w:eastAsia="仿宋_GB2312" w:cs="仿宋_GB2312"/>
          <w:color w:val="auto"/>
          <w:sz w:val="32"/>
          <w:szCs w:val="32"/>
          <w:highlight w:val="none"/>
          <w:lang w:bidi="ar"/>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5CBEB69">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以下文字请投标供应商抄写并确认：“本公司已仔细阅读《政府采购违法行为风险知悉确认书》，充分知悉违法行为的法律后果，并承诺将严谨、诚信、依法依规参与政府采购活动”。</w:t>
      </w:r>
    </w:p>
    <w:p w14:paraId="669AA611">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u w:val="single"/>
          <w:lang w:bidi="ar"/>
        </w:rPr>
        <w:t xml:space="preserve">                                                    </w:t>
      </w:r>
    </w:p>
    <w:p w14:paraId="0C61287F">
      <w:pPr>
        <w:spacing w:line="579" w:lineRule="exact"/>
        <w:ind w:firstLine="640" w:firstLineChars="200"/>
        <w:rPr>
          <w:rFonts w:ascii="仿宋_GB2312" w:hAnsi="Times New Roman" w:eastAsia="仿宋_GB2312" w:cs="仿宋_GB2312"/>
          <w:color w:val="auto"/>
          <w:sz w:val="32"/>
          <w:szCs w:val="32"/>
          <w:highlight w:val="none"/>
          <w:u w:val="single"/>
        </w:rPr>
      </w:pPr>
      <w:r>
        <w:rPr>
          <w:rFonts w:hint="eastAsia" w:ascii="仿宋_GB2312" w:hAnsi="Times New Roman" w:eastAsia="仿宋_GB2312" w:cs="仿宋_GB2312"/>
          <w:color w:val="auto"/>
          <w:sz w:val="32"/>
          <w:szCs w:val="32"/>
          <w:highlight w:val="none"/>
          <w:u w:val="single"/>
          <w:lang w:bidi="ar"/>
        </w:rPr>
        <w:t xml:space="preserve">                                                    </w:t>
      </w:r>
    </w:p>
    <w:p w14:paraId="09B56611">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u w:val="single"/>
          <w:lang w:bidi="ar"/>
        </w:rPr>
        <w:t xml:space="preserve">                                                    </w:t>
      </w:r>
    </w:p>
    <w:p w14:paraId="2B34A12D">
      <w:pPr>
        <w:spacing w:line="579" w:lineRule="exact"/>
        <w:ind w:firstLine="640" w:firstLineChars="200"/>
        <w:rPr>
          <w:rFonts w:ascii="仿宋_GB2312" w:hAnsi="Times New Roman" w:eastAsia="仿宋_GB2312" w:cs="仿宋_GB2312"/>
          <w:color w:val="auto"/>
          <w:sz w:val="24"/>
          <w:highlight w:val="none"/>
        </w:rPr>
      </w:pPr>
      <w:r>
        <w:rPr>
          <w:rFonts w:hint="eastAsia" w:ascii="仿宋_GB2312" w:hAnsi="Times New Roman" w:eastAsia="仿宋_GB2312" w:cs="仿宋_GB2312"/>
          <w:color w:val="auto"/>
          <w:sz w:val="32"/>
          <w:szCs w:val="32"/>
          <w:highlight w:val="none"/>
          <w:u w:val="single"/>
          <w:lang w:bidi="ar"/>
        </w:rPr>
        <w:t xml:space="preserve">                                                    </w:t>
      </w:r>
    </w:p>
    <w:p w14:paraId="22DC8D7C">
      <w:pPr>
        <w:spacing w:line="579" w:lineRule="exact"/>
        <w:ind w:firstLine="640" w:firstLineChars="20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 xml:space="preserve"> </w:t>
      </w:r>
    </w:p>
    <w:p w14:paraId="0E4BA780">
      <w:pPr>
        <w:spacing w:line="579" w:lineRule="exact"/>
        <w:ind w:firstLine="640" w:firstLineChars="200"/>
        <w:jc w:val="right"/>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 xml:space="preserve">                   </w:t>
      </w:r>
    </w:p>
    <w:p w14:paraId="62D3119C">
      <w:pPr>
        <w:spacing w:line="579" w:lineRule="exact"/>
        <w:ind w:firstLine="640" w:firstLineChars="200"/>
        <w:jc w:val="right"/>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 xml:space="preserve"> 负责人/投标授权代表签名：</w:t>
      </w:r>
    </w:p>
    <w:p w14:paraId="18041821">
      <w:pPr>
        <w:spacing w:line="579" w:lineRule="exact"/>
        <w:ind w:firstLine="640" w:firstLineChars="200"/>
        <w:jc w:val="center"/>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bidi="ar"/>
        </w:rPr>
        <w:t xml:space="preserve">              知悉人（公章）：</w:t>
      </w:r>
    </w:p>
    <w:p w14:paraId="142DA769">
      <w:pPr>
        <w:spacing w:line="579" w:lineRule="exact"/>
        <w:ind w:firstLine="640" w:firstLineChars="200"/>
        <w:jc w:val="center"/>
        <w:rPr>
          <w:rFonts w:ascii="Times New Roman" w:hAnsi="Times New Roman"/>
          <w:color w:val="auto"/>
          <w:sz w:val="32"/>
          <w:szCs w:val="32"/>
          <w:highlight w:val="none"/>
        </w:rPr>
      </w:pPr>
      <w:r>
        <w:rPr>
          <w:rFonts w:hint="eastAsia" w:ascii="仿宋_GB2312" w:hAnsi="Times New Roman" w:eastAsia="仿宋_GB2312" w:cs="仿宋_GB2312"/>
          <w:color w:val="auto"/>
          <w:sz w:val="32"/>
          <w:szCs w:val="32"/>
          <w:highlight w:val="none"/>
          <w:lang w:bidi="ar"/>
        </w:rPr>
        <w:t xml:space="preserve">    日期：</w:t>
      </w:r>
    </w:p>
    <w:p w14:paraId="4587B7C0">
      <w:pPr>
        <w:rPr>
          <w:color w:val="auto"/>
          <w:highlight w:val="none"/>
        </w:rPr>
      </w:pPr>
      <w:r>
        <w:rPr>
          <w:color w:val="auto"/>
          <w:highlight w:val="none"/>
        </w:rPr>
        <w:t xml:space="preserve"> </w:t>
      </w:r>
    </w:p>
    <w:p w14:paraId="4A626B54">
      <w:pPr>
        <w:spacing w:line="578" w:lineRule="exact"/>
        <w:ind w:firstLine="883" w:firstLineChars="200"/>
        <w:jc w:val="center"/>
        <w:rPr>
          <w:rFonts w:ascii="仿宋_GB2312" w:hAnsi="宋体" w:eastAsia="仿宋_GB2312"/>
          <w:b/>
          <w:color w:val="auto"/>
          <w:sz w:val="44"/>
          <w:szCs w:val="44"/>
          <w:highlight w:val="none"/>
        </w:rPr>
      </w:pPr>
      <w:r>
        <w:rPr>
          <w:rFonts w:hint="eastAsia" w:ascii="仿宋_GB2312" w:hAnsi="宋体" w:eastAsia="仿宋_GB2312"/>
          <w:b/>
          <w:color w:val="auto"/>
          <w:sz w:val="44"/>
          <w:szCs w:val="44"/>
          <w:highlight w:val="none"/>
          <w:lang w:bidi="ar"/>
        </w:rPr>
        <w:t xml:space="preserve"> </w:t>
      </w:r>
    </w:p>
    <w:p w14:paraId="51C642D3">
      <w:pPr>
        <w:spacing w:line="578" w:lineRule="exact"/>
        <w:ind w:firstLine="883" w:firstLineChars="200"/>
        <w:jc w:val="center"/>
        <w:rPr>
          <w:rFonts w:ascii="仿宋_GB2312" w:hAnsi="宋体" w:eastAsia="仿宋_GB2312"/>
          <w:b/>
          <w:color w:val="auto"/>
          <w:sz w:val="44"/>
          <w:szCs w:val="44"/>
          <w:highlight w:val="none"/>
        </w:rPr>
      </w:pPr>
      <w:r>
        <w:rPr>
          <w:rFonts w:hint="eastAsia" w:ascii="仿宋_GB2312" w:hAnsi="宋体" w:eastAsia="仿宋_GB2312"/>
          <w:b/>
          <w:color w:val="auto"/>
          <w:sz w:val="44"/>
          <w:szCs w:val="44"/>
          <w:highlight w:val="none"/>
          <w:lang w:bidi="ar"/>
        </w:rPr>
        <w:t xml:space="preserve"> </w:t>
      </w:r>
    </w:p>
    <w:p w14:paraId="22189808">
      <w:pPr>
        <w:spacing w:line="578" w:lineRule="exact"/>
        <w:jc w:val="left"/>
        <w:rPr>
          <w:rFonts w:ascii="仿宋_GB2312" w:hAnsi="宋体" w:eastAsia="仿宋_GB2312" w:cs="仿宋_GB2312"/>
          <w:color w:val="auto"/>
          <w:sz w:val="32"/>
          <w:szCs w:val="32"/>
          <w:highlight w:val="none"/>
          <w:lang w:bidi="ar"/>
        </w:rPr>
      </w:pPr>
    </w:p>
    <w:p w14:paraId="64AA8AB0">
      <w:pPr>
        <w:spacing w:line="578" w:lineRule="exact"/>
        <w:jc w:val="left"/>
        <w:rPr>
          <w:rFonts w:ascii="仿宋_GB2312" w:hAnsi="宋体" w:eastAsia="仿宋_GB2312" w:cs="仿宋_GB2312"/>
          <w:color w:val="auto"/>
          <w:sz w:val="32"/>
          <w:szCs w:val="32"/>
          <w:highlight w:val="none"/>
          <w:lang w:bidi="ar"/>
        </w:rPr>
      </w:pPr>
    </w:p>
    <w:p w14:paraId="13A42DFE">
      <w:pPr>
        <w:spacing w:line="578" w:lineRule="exact"/>
        <w:jc w:val="left"/>
        <w:rPr>
          <w:rFonts w:ascii="仿宋_GB2312" w:hAnsi="宋体" w:eastAsia="仿宋_GB2312" w:cs="仿宋_GB2312"/>
          <w:color w:val="auto"/>
          <w:sz w:val="32"/>
          <w:szCs w:val="32"/>
          <w:highlight w:val="none"/>
          <w:lang w:bidi="ar"/>
        </w:rPr>
      </w:pPr>
    </w:p>
    <w:p w14:paraId="44DAB00B">
      <w:pPr>
        <w:spacing w:line="578" w:lineRule="exact"/>
        <w:jc w:val="left"/>
        <w:rPr>
          <w:rFonts w:ascii="仿宋_GB2312" w:hAnsi="宋体" w:eastAsia="仿宋_GB2312" w:cs="仿宋_GB2312"/>
          <w:color w:val="auto"/>
          <w:sz w:val="32"/>
          <w:szCs w:val="32"/>
          <w:highlight w:val="none"/>
          <w:lang w:bidi="ar"/>
        </w:rPr>
      </w:pPr>
    </w:p>
    <w:p w14:paraId="5FD6D79F">
      <w:pPr>
        <w:spacing w:line="578" w:lineRule="exact"/>
        <w:jc w:val="left"/>
        <w:rPr>
          <w:rFonts w:ascii="仿宋_GB2312" w:hAnsi="宋体" w:eastAsia="仿宋_GB2312" w:cs="仿宋_GB2312"/>
          <w:color w:val="auto"/>
          <w:sz w:val="32"/>
          <w:szCs w:val="32"/>
          <w:highlight w:val="none"/>
          <w:lang w:bidi="ar"/>
        </w:rPr>
      </w:pPr>
    </w:p>
    <w:p w14:paraId="6AE05576">
      <w:pPr>
        <w:spacing w:line="578" w:lineRule="exact"/>
        <w:jc w:val="left"/>
        <w:rPr>
          <w:rFonts w:ascii="仿宋_GB2312" w:hAnsi="宋体" w:eastAsia="仿宋_GB2312" w:cs="仿宋_GB2312"/>
          <w:color w:val="auto"/>
          <w:sz w:val="32"/>
          <w:szCs w:val="32"/>
          <w:highlight w:val="none"/>
          <w:lang w:bidi="ar"/>
        </w:rPr>
      </w:pPr>
    </w:p>
    <w:p w14:paraId="79035241">
      <w:pPr>
        <w:spacing w:line="578" w:lineRule="exact"/>
        <w:jc w:val="left"/>
        <w:rPr>
          <w:rFonts w:ascii="仿宋_GB2312" w:hAnsi="宋体" w:eastAsia="仿宋_GB2312" w:cs="仿宋_GB2312"/>
          <w:color w:val="auto"/>
          <w:sz w:val="32"/>
          <w:szCs w:val="32"/>
          <w:highlight w:val="none"/>
          <w:lang w:bidi="ar"/>
        </w:rPr>
      </w:pPr>
    </w:p>
    <w:p w14:paraId="3635C2B3">
      <w:pPr>
        <w:spacing w:line="578" w:lineRule="exact"/>
        <w:jc w:val="left"/>
        <w:rPr>
          <w:rFonts w:ascii="仿宋_GB2312" w:hAnsi="宋体" w:eastAsia="仿宋_GB2312" w:cs="仿宋_GB2312"/>
          <w:color w:val="auto"/>
          <w:sz w:val="32"/>
          <w:szCs w:val="32"/>
          <w:highlight w:val="none"/>
          <w:lang w:bidi="ar"/>
        </w:rPr>
      </w:pPr>
    </w:p>
    <w:p w14:paraId="554EF74C">
      <w:pPr>
        <w:rPr>
          <w:rFonts w:ascii="仿宋_GB2312" w:hAnsi="宋体" w:eastAsia="仿宋_GB2312" w:cs="仿宋_GB2312"/>
          <w:color w:val="auto"/>
          <w:sz w:val="32"/>
          <w:szCs w:val="32"/>
          <w:highlight w:val="none"/>
          <w:lang w:bidi="ar"/>
        </w:rPr>
      </w:pPr>
      <w:r>
        <w:rPr>
          <w:rFonts w:ascii="仿宋_GB2312" w:hAnsi="宋体" w:eastAsia="仿宋_GB2312" w:cs="仿宋_GB2312"/>
          <w:color w:val="auto"/>
          <w:sz w:val="32"/>
          <w:szCs w:val="32"/>
          <w:highlight w:val="none"/>
          <w:lang w:bidi="ar"/>
        </w:rPr>
        <w:br w:type="page"/>
      </w:r>
    </w:p>
    <w:p w14:paraId="401AA401">
      <w:pPr>
        <w:adjustRightInd w:val="0"/>
        <w:snapToGrid w:val="0"/>
        <w:spacing w:line="578" w:lineRule="exact"/>
        <w:ind w:firstLine="1807" w:firstLineChars="500"/>
        <w:rPr>
          <w:rFonts w:ascii="方正小标宋简体" w:hAnsi="方正小标宋简体" w:eastAsia="方正小标宋简体" w:cs="方正小标宋简体"/>
          <w:b/>
          <w:bCs/>
          <w:color w:val="auto"/>
          <w:sz w:val="36"/>
          <w:szCs w:val="36"/>
          <w:highlight w:val="none"/>
          <w:lang w:bidi="ar"/>
        </w:rPr>
      </w:pPr>
      <w:r>
        <w:rPr>
          <w:rFonts w:hint="eastAsia" w:ascii="方正小标宋简体" w:hAnsi="方正小标宋简体" w:eastAsia="方正小标宋简体" w:cs="方正小标宋简体"/>
          <w:b/>
          <w:bCs/>
          <w:color w:val="auto"/>
          <w:sz w:val="36"/>
          <w:szCs w:val="36"/>
          <w:highlight w:val="none"/>
        </w:rPr>
        <w:t>政府采购投标及履约承诺函</w:t>
      </w:r>
    </w:p>
    <w:p w14:paraId="2D953AD3">
      <w:pPr>
        <w:adjustRightInd w:val="0"/>
        <w:snapToGrid w:val="0"/>
        <w:spacing w:line="578" w:lineRule="exact"/>
        <w:rPr>
          <w:rFonts w:ascii="仿宋_GB2312" w:hAnsi="Times New Roman" w:eastAsia="仿宋_GB2312"/>
          <w:color w:val="auto"/>
          <w:sz w:val="28"/>
          <w:szCs w:val="28"/>
          <w:highlight w:val="none"/>
          <w:lang w:bidi="ar"/>
        </w:rPr>
      </w:pPr>
    </w:p>
    <w:p w14:paraId="405E9542">
      <w:pPr>
        <w:adjustRightInd w:val="0"/>
        <w:snapToGrid w:val="0"/>
        <w:spacing w:line="578" w:lineRule="exact"/>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致：中共深圳市委金融委员会办公室</w:t>
      </w:r>
    </w:p>
    <w:p w14:paraId="7822078D">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我单位承诺：</w:t>
      </w:r>
    </w:p>
    <w:p w14:paraId="56D16D21">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1.我单位具备《中华人民共和国政府采购法》第二十二条第一款规定的六项条件。</w:t>
      </w:r>
    </w:p>
    <w:p w14:paraId="76D1C75D">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2.我单位参与本项目投标前三年内，在经营活动中没有重大违法记录。</w:t>
      </w:r>
    </w:p>
    <w:p w14:paraId="4EDFDA0E">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3.我单位参与本项目政府采购活动时不存在被有关部门禁止参与政府采购活动且在有效期内的情况。</w:t>
      </w:r>
    </w:p>
    <w:p w14:paraId="702EB4FB">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4.我单位未被列入失信被执行人、重大税收违法案件当事人名单、政府采购严重违法失信行为记录名单。</w:t>
      </w:r>
    </w:p>
    <w:p w14:paraId="43608C60">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5.我单位</w:t>
      </w:r>
      <w:r>
        <w:rPr>
          <w:rFonts w:hint="eastAsia" w:ascii="仿宋_GB2312" w:hAnsi="仿宋_GB2312" w:eastAsia="仿宋_GB2312" w:cs="仿宋_GB2312"/>
          <w:color w:val="auto"/>
          <w:kern w:val="0"/>
          <w:sz w:val="32"/>
          <w:szCs w:val="32"/>
          <w:highlight w:val="none"/>
        </w:rPr>
        <w:t>承诺</w:t>
      </w:r>
      <w:r>
        <w:rPr>
          <w:rFonts w:hint="eastAsia" w:ascii="仿宋_GB2312" w:hAnsi="仿宋_GB2312" w:eastAsia="仿宋_GB2312" w:cs="仿宋_GB2312"/>
          <w:color w:val="auto"/>
          <w:sz w:val="32"/>
          <w:szCs w:val="32"/>
          <w:highlight w:val="none"/>
        </w:rPr>
        <w:t>不存在《深圳市财政局政府采购供应商信用信息管理办法》（深财规〔2023〕3号）列明的严重违法失信行为。</w:t>
      </w:r>
    </w:p>
    <w:p w14:paraId="7DD8BF92">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6.我单位本招标项目所提供的货物或服务未侵犯知识产权。</w:t>
      </w:r>
    </w:p>
    <w:p w14:paraId="29030AD1">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7.我单位参与该项目投标，严格遵循公平竞争的原则，不恶意串通，不妨碍其他投标人的竞争行为，不损害采购人或者其他投标人的合法权益。我单位已清楚，如违反上述要求，将作投标无效处理，并自动放弃本项目所有投标事宜；。</w:t>
      </w:r>
    </w:p>
    <w:p w14:paraId="46509B2C">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8.我单位如果中标，做到守信，不偷工减料，依照本项目招标文件需求内容、签署的采购合同及本公司在投标中所作的一切承诺履约。。</w:t>
      </w:r>
    </w:p>
    <w:p w14:paraId="00AD8207">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9.我单位承诺本项目的报价不低于我单位的成本价，否则，我单位清楚将面临投标无效的风险；我单位承诺不恶意低价谋取中标；我单位对本项目的报价负责，中标后将严格按照本项目招标文件需求、签署的采购合同及我公司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733DA1C">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10.我单位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9A5A0DC">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11.我单位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不存在“不同供应商的董事、股东或其他高级管理人员为同一人的”情形；不存在串通投标、恶意串通或者视为串通投标的情形。</w:t>
      </w:r>
    </w:p>
    <w:p w14:paraId="05B0F2D2">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12.我单位承诺中标后项目不转包，未经采购人同意不进行分包。。</w:t>
      </w:r>
    </w:p>
    <w:p w14:paraId="278E0AA9">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 xml:space="preserve">以上承诺，如有违反，愿依照国家相关法律处理，并承担由此给采购人带来的损失。                                 </w:t>
      </w:r>
    </w:p>
    <w:p w14:paraId="453764A2">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p>
    <w:p w14:paraId="30117782">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p>
    <w:p w14:paraId="0360D044">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 xml:space="preserve">投标人：（公章）                       </w:t>
      </w:r>
    </w:p>
    <w:p w14:paraId="1E070F24">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 xml:space="preserve">单位地址：               </w:t>
      </w:r>
    </w:p>
    <w:p w14:paraId="460F5DFD">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法定代表人或其委托代理人：（盖章或签字）</w:t>
      </w:r>
    </w:p>
    <w:p w14:paraId="705F6DF9">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 xml:space="preserve">日期：    年   月   日   </w:t>
      </w:r>
    </w:p>
    <w:p w14:paraId="04F06108">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p>
    <w:p w14:paraId="6D3AF56F">
      <w:pPr>
        <w:adjustRightInd w:val="0"/>
        <w:snapToGrid w:val="0"/>
        <w:spacing w:line="578"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注：若投标人有上述任意一个行为，不可提供该承诺函，否则按相关规定处理；若没有上述行为按要求填写，不得更改承诺内容。</w:t>
      </w:r>
    </w:p>
    <w:p w14:paraId="41D0760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 xml:space="preserve"> </w:t>
      </w:r>
    </w:p>
    <w:p w14:paraId="62FEF73B">
      <w:pPr>
        <w:pStyle w:val="22"/>
        <w:ind w:firstLine="0"/>
        <w:rPr>
          <w:color w:val="auto"/>
          <w:highlight w:val="none"/>
        </w:rPr>
      </w:pPr>
    </w:p>
    <w:p w14:paraId="142EC854">
      <w:pPr>
        <w:spacing w:line="560" w:lineRule="exact"/>
        <w:ind w:firstLine="1325" w:firstLineChars="300"/>
        <w:rPr>
          <w:rFonts w:ascii="仿宋_GB2312" w:hAnsi="宋体" w:eastAsia="仿宋_GB2312" w:cs="仿宋_GB2312"/>
          <w:b/>
          <w:color w:val="auto"/>
          <w:sz w:val="44"/>
          <w:szCs w:val="44"/>
          <w:highlight w:val="none"/>
          <w:lang w:bidi="ar"/>
        </w:rPr>
      </w:pPr>
    </w:p>
    <w:p w14:paraId="44F51901">
      <w:pPr>
        <w:spacing w:line="560" w:lineRule="exact"/>
        <w:ind w:firstLine="1325" w:firstLineChars="300"/>
        <w:rPr>
          <w:rFonts w:ascii="仿宋_GB2312" w:hAnsi="宋体" w:eastAsia="仿宋_GB2312" w:cs="仿宋_GB2312"/>
          <w:b/>
          <w:color w:val="auto"/>
          <w:sz w:val="44"/>
          <w:szCs w:val="44"/>
          <w:highlight w:val="none"/>
          <w:lang w:bidi="ar"/>
        </w:rPr>
      </w:pPr>
    </w:p>
    <w:p w14:paraId="3E4E9B15">
      <w:pPr>
        <w:spacing w:line="560" w:lineRule="exact"/>
        <w:ind w:firstLine="1325" w:firstLineChars="300"/>
        <w:rPr>
          <w:rFonts w:ascii="仿宋_GB2312" w:hAnsi="宋体" w:eastAsia="仿宋_GB2312" w:cs="仿宋_GB2312"/>
          <w:b/>
          <w:color w:val="auto"/>
          <w:sz w:val="44"/>
          <w:szCs w:val="44"/>
          <w:highlight w:val="none"/>
          <w:lang w:bidi="ar"/>
        </w:rPr>
      </w:pPr>
    </w:p>
    <w:p w14:paraId="0C4913E1">
      <w:pPr>
        <w:spacing w:line="560" w:lineRule="exact"/>
        <w:ind w:firstLine="1325" w:firstLineChars="300"/>
        <w:rPr>
          <w:rFonts w:ascii="仿宋_GB2312" w:hAnsi="宋体" w:eastAsia="仿宋_GB2312" w:cs="仿宋_GB2312"/>
          <w:b/>
          <w:color w:val="auto"/>
          <w:sz w:val="44"/>
          <w:szCs w:val="44"/>
          <w:highlight w:val="none"/>
          <w:lang w:bidi="ar"/>
        </w:rPr>
      </w:pPr>
    </w:p>
    <w:p w14:paraId="631B1BCE">
      <w:pPr>
        <w:spacing w:line="560" w:lineRule="exact"/>
        <w:ind w:firstLine="1325" w:firstLineChars="300"/>
        <w:rPr>
          <w:rFonts w:ascii="仿宋_GB2312" w:hAnsi="宋体" w:eastAsia="仿宋_GB2312" w:cs="仿宋_GB2312"/>
          <w:b/>
          <w:color w:val="auto"/>
          <w:sz w:val="44"/>
          <w:szCs w:val="44"/>
          <w:highlight w:val="none"/>
          <w:lang w:bidi="ar"/>
        </w:rPr>
      </w:pPr>
    </w:p>
    <w:p w14:paraId="58279CF5">
      <w:pPr>
        <w:spacing w:line="560" w:lineRule="exact"/>
        <w:ind w:firstLine="1325" w:firstLineChars="300"/>
        <w:rPr>
          <w:rFonts w:ascii="仿宋_GB2312" w:hAnsi="宋体" w:eastAsia="仿宋_GB2312" w:cs="仿宋_GB2312"/>
          <w:b/>
          <w:color w:val="auto"/>
          <w:sz w:val="44"/>
          <w:szCs w:val="44"/>
          <w:highlight w:val="none"/>
          <w:lang w:bidi="ar"/>
        </w:rPr>
      </w:pPr>
    </w:p>
    <w:p w14:paraId="65F514CE">
      <w:pPr>
        <w:spacing w:line="560" w:lineRule="exact"/>
        <w:ind w:firstLine="1325" w:firstLineChars="300"/>
        <w:rPr>
          <w:rFonts w:ascii="仿宋_GB2312" w:hAnsi="宋体" w:eastAsia="仿宋_GB2312" w:cs="仿宋_GB2312"/>
          <w:b/>
          <w:color w:val="auto"/>
          <w:sz w:val="44"/>
          <w:szCs w:val="44"/>
          <w:highlight w:val="none"/>
          <w:lang w:bidi="ar"/>
        </w:rPr>
      </w:pPr>
    </w:p>
    <w:p w14:paraId="59B7E110">
      <w:pPr>
        <w:spacing w:line="560" w:lineRule="exact"/>
        <w:ind w:firstLine="1325" w:firstLineChars="300"/>
        <w:rPr>
          <w:rFonts w:ascii="仿宋_GB2312" w:hAnsi="宋体" w:eastAsia="仿宋_GB2312" w:cs="仿宋_GB2312"/>
          <w:b/>
          <w:color w:val="auto"/>
          <w:sz w:val="44"/>
          <w:szCs w:val="44"/>
          <w:highlight w:val="none"/>
          <w:lang w:bidi="ar"/>
        </w:rPr>
      </w:pPr>
    </w:p>
    <w:p w14:paraId="2082F7AF">
      <w:pPr>
        <w:spacing w:line="560" w:lineRule="exact"/>
        <w:ind w:firstLine="1325" w:firstLineChars="300"/>
        <w:rPr>
          <w:rFonts w:ascii="仿宋_GB2312" w:hAnsi="宋体" w:eastAsia="仿宋_GB2312" w:cs="仿宋_GB2312"/>
          <w:b/>
          <w:color w:val="auto"/>
          <w:sz w:val="44"/>
          <w:szCs w:val="44"/>
          <w:highlight w:val="none"/>
          <w:lang w:bidi="ar"/>
        </w:rPr>
      </w:pPr>
    </w:p>
    <w:p w14:paraId="273F6B21">
      <w:pPr>
        <w:spacing w:line="560" w:lineRule="exact"/>
        <w:ind w:firstLine="1325" w:firstLineChars="300"/>
        <w:rPr>
          <w:rFonts w:ascii="仿宋_GB2312" w:hAnsi="宋体" w:eastAsia="仿宋_GB2312" w:cs="仿宋_GB2312"/>
          <w:b/>
          <w:color w:val="auto"/>
          <w:sz w:val="44"/>
          <w:szCs w:val="44"/>
          <w:highlight w:val="none"/>
          <w:lang w:bidi="ar"/>
        </w:rPr>
      </w:pPr>
    </w:p>
    <w:p w14:paraId="7C184DDC">
      <w:pPr>
        <w:spacing w:line="560" w:lineRule="exact"/>
        <w:ind w:firstLine="1325" w:firstLineChars="300"/>
        <w:rPr>
          <w:rFonts w:ascii="仿宋_GB2312" w:hAnsi="宋体" w:eastAsia="仿宋_GB2312"/>
          <w:b/>
          <w:color w:val="auto"/>
          <w:sz w:val="44"/>
          <w:szCs w:val="44"/>
          <w:highlight w:val="none"/>
        </w:rPr>
      </w:pPr>
      <w:r>
        <w:rPr>
          <w:rFonts w:hint="eastAsia" w:ascii="仿宋_GB2312" w:hAnsi="宋体" w:eastAsia="仿宋_GB2312" w:cs="仿宋_GB2312"/>
          <w:b/>
          <w:color w:val="auto"/>
          <w:sz w:val="44"/>
          <w:szCs w:val="44"/>
          <w:highlight w:val="none"/>
          <w:lang w:bidi="ar"/>
        </w:rPr>
        <w:t>资质审查材料及其他证明资料</w:t>
      </w:r>
    </w:p>
    <w:p w14:paraId="50624BBC">
      <w:pPr>
        <w:spacing w:line="578" w:lineRule="exact"/>
        <w:ind w:firstLine="883" w:firstLineChars="200"/>
        <w:jc w:val="center"/>
        <w:rPr>
          <w:rFonts w:ascii="仿宋_GB2312" w:hAnsi="宋体" w:eastAsia="仿宋_GB2312"/>
          <w:b/>
          <w:color w:val="auto"/>
          <w:sz w:val="44"/>
          <w:szCs w:val="44"/>
          <w:highlight w:val="none"/>
          <w:lang w:bidi="ar"/>
        </w:rPr>
      </w:pPr>
    </w:p>
    <w:p w14:paraId="4D28936F">
      <w:pPr>
        <w:spacing w:line="578" w:lineRule="exact"/>
        <w:ind w:firstLine="883" w:firstLineChars="200"/>
        <w:jc w:val="center"/>
        <w:rPr>
          <w:rFonts w:ascii="仿宋_GB2312" w:hAnsi="宋体" w:eastAsia="仿宋_GB2312"/>
          <w:b/>
          <w:color w:val="auto"/>
          <w:sz w:val="44"/>
          <w:szCs w:val="44"/>
          <w:highlight w:val="none"/>
        </w:rPr>
      </w:pPr>
      <w:r>
        <w:rPr>
          <w:rFonts w:hint="eastAsia" w:ascii="仿宋_GB2312" w:hAnsi="宋体" w:eastAsia="仿宋_GB2312"/>
          <w:b/>
          <w:color w:val="auto"/>
          <w:sz w:val="44"/>
          <w:szCs w:val="44"/>
          <w:highlight w:val="none"/>
          <w:lang w:bidi="ar"/>
        </w:rPr>
        <w:t xml:space="preserve"> </w:t>
      </w:r>
    </w:p>
    <w:p w14:paraId="19B3120B">
      <w:pPr>
        <w:spacing w:line="578" w:lineRule="exact"/>
        <w:ind w:firstLine="643" w:firstLineChars="200"/>
        <w:jc w:val="left"/>
        <w:rPr>
          <w:rFonts w:ascii="仿宋_GB2312" w:hAnsi="宋体" w:eastAsia="仿宋_GB2312"/>
          <w:b/>
          <w:color w:val="auto"/>
          <w:sz w:val="32"/>
          <w:szCs w:val="32"/>
          <w:highlight w:val="none"/>
        </w:rPr>
      </w:pPr>
      <w:r>
        <w:rPr>
          <w:rFonts w:hint="eastAsia" w:ascii="仿宋_GB2312" w:hAnsi="宋体" w:eastAsia="仿宋_GB2312" w:cs="仿宋_GB2312"/>
          <w:b/>
          <w:color w:val="auto"/>
          <w:sz w:val="32"/>
          <w:szCs w:val="32"/>
          <w:highlight w:val="none"/>
          <w:lang w:bidi="ar"/>
        </w:rPr>
        <w:t>一、资质审查材料：</w:t>
      </w:r>
    </w:p>
    <w:p w14:paraId="530EC36A">
      <w:pPr>
        <w:spacing w:line="578" w:lineRule="exact"/>
        <w:ind w:firstLine="640" w:firstLineChars="200"/>
        <w:jc w:val="left"/>
        <w:rPr>
          <w:rFonts w:ascii="仿宋_GB2312" w:hAnsi="宋体" w:eastAsia="仿宋_GB2312" w:cs="仿宋_GB2312"/>
          <w:color w:val="auto"/>
          <w:sz w:val="32"/>
          <w:szCs w:val="32"/>
          <w:highlight w:val="none"/>
          <w:lang w:bidi="ar"/>
        </w:rPr>
      </w:pPr>
      <w:r>
        <w:rPr>
          <w:rFonts w:hint="eastAsia" w:ascii="仿宋_GB2312" w:hAnsi="宋体" w:eastAsia="仿宋_GB2312" w:cs="仿宋_GB2312"/>
          <w:color w:val="auto"/>
          <w:sz w:val="32"/>
          <w:szCs w:val="32"/>
          <w:highlight w:val="none"/>
          <w:lang w:bidi="ar"/>
        </w:rPr>
        <w:t>1.具有独立法人资格或是具有独立承担民事责任能力的其它组织（提供营业执照或事业单位法人证书等证明资料扫描件），法定代表人有效的身份证复印件、法定代表人授权书和被授权人身份证复印件。</w:t>
      </w:r>
    </w:p>
    <w:p w14:paraId="0C79140D">
      <w:pPr>
        <w:spacing w:line="578" w:lineRule="exact"/>
        <w:ind w:firstLine="640" w:firstLineChars="200"/>
        <w:jc w:val="left"/>
        <w:rPr>
          <w:rFonts w:ascii="仿宋_GB2312" w:hAnsi="宋体" w:eastAsia="仿宋_GB2312" w:cs="仿宋_GB2312"/>
          <w:color w:val="auto"/>
          <w:sz w:val="32"/>
          <w:szCs w:val="32"/>
          <w:highlight w:val="none"/>
          <w:lang w:bidi="ar"/>
        </w:rPr>
      </w:pPr>
      <w:r>
        <w:rPr>
          <w:rFonts w:hint="eastAsia" w:ascii="仿宋_GB2312" w:hAnsi="宋体" w:eastAsia="仿宋_GB2312" w:cs="仿宋_GB2312"/>
          <w:color w:val="auto"/>
          <w:sz w:val="32"/>
          <w:szCs w:val="32"/>
          <w:highlight w:val="none"/>
          <w:lang w:bidi="ar"/>
        </w:rPr>
        <w:t>2.要求提供法定代表人近2年的社会保险证明（投标人为新成立企业且成立时间不足24个月可提供加盖投标人公章的情况说明或者证明材料亦视为符合、若为退休人员，提供退休证明、如依法不需要缴纳社会保险的，应提供相应文件证明）。</w:t>
      </w:r>
    </w:p>
    <w:p w14:paraId="6DA801E3">
      <w:pPr>
        <w:spacing w:line="578" w:lineRule="exact"/>
        <w:ind w:firstLine="640" w:firstLineChars="200"/>
        <w:jc w:val="left"/>
        <w:rPr>
          <w:rFonts w:ascii="仿宋_GB2312" w:hAnsi="宋体" w:eastAsia="仿宋_GB2312" w:cs="仿宋_GB2312"/>
          <w:color w:val="auto"/>
          <w:sz w:val="32"/>
          <w:szCs w:val="32"/>
          <w:highlight w:val="none"/>
          <w:lang w:bidi="ar"/>
        </w:rPr>
      </w:pPr>
      <w:r>
        <w:rPr>
          <w:rFonts w:hint="eastAsia" w:ascii="仿宋_GB2312" w:hAnsi="宋体" w:eastAsia="仿宋_GB2312" w:cs="仿宋_GB2312"/>
          <w:color w:val="auto"/>
          <w:sz w:val="32"/>
          <w:szCs w:val="32"/>
          <w:highlight w:val="none"/>
          <w:lang w:bidi="ar"/>
        </w:rPr>
        <w:t>3.政府采购投标及履约承诺函。</w:t>
      </w:r>
    </w:p>
    <w:p w14:paraId="0808B0F2">
      <w:pPr>
        <w:pStyle w:val="21"/>
        <w:ind w:firstLine="640"/>
        <w:rPr>
          <w:rFonts w:hAnsi="宋体"/>
          <w:color w:val="auto"/>
          <w:highlight w:val="none"/>
        </w:rPr>
      </w:pPr>
      <w:r>
        <w:rPr>
          <w:rFonts w:hAnsi="宋体"/>
          <w:color w:val="auto"/>
          <w:highlight w:val="none"/>
        </w:rPr>
        <w:t>4.截至评标前，在“信用中国”（www.creditchina.gov.cn）、“中国政府采购网”（www.ccgp.gov.cn）、“深圳市政府采购监管网”（http://zfcg.sz.gov.cn），未被列入失信被执行人、重大税收违法案件当事人名单、政府采购严重违法失信行为记录名单等信用记录，投标人无须提供证明文件，以采购人实际查询信息记录为准。</w:t>
      </w:r>
    </w:p>
    <w:p w14:paraId="18FB085A">
      <w:pPr>
        <w:adjustRightInd w:val="0"/>
        <w:snapToGrid w:val="0"/>
        <w:spacing w:line="500" w:lineRule="exact"/>
        <w:ind w:firstLine="640" w:firstLineChars="200"/>
        <w:rPr>
          <w:rFonts w:hint="eastAsia" w:hAnsi="宋体" w:eastAsia="仿宋_GB2312"/>
          <w:color w:val="auto"/>
          <w:highlight w:val="none"/>
          <w:lang w:eastAsia="zh-CN"/>
        </w:rPr>
      </w:pP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供应商应持有由中国合格评定国家认可委员会（CNAS）颁发的、在有效期内的检验机构或实验室认可证书，且认可范围须覆盖本项目所检内容领域；或持有中国国家认证认可监督管理委员会颁发的、在有效期内的检验检测机构资质认定证书（CMA），且认定范围同样须覆盖本项目所检内容领域</w:t>
      </w:r>
      <w:r>
        <w:rPr>
          <w:rFonts w:hint="eastAsia" w:hAnsi="仿宋_GB2312" w:cs="仿宋_GB2312"/>
          <w:color w:val="auto"/>
          <w:sz w:val="32"/>
          <w:szCs w:val="32"/>
          <w:highlight w:val="none"/>
          <w:lang w:eastAsia="zh-CN"/>
        </w:rPr>
        <w:t>。</w:t>
      </w:r>
    </w:p>
    <w:p w14:paraId="11B637B2">
      <w:pPr>
        <w:spacing w:line="578" w:lineRule="exact"/>
        <w:ind w:firstLine="643" w:firstLineChars="200"/>
        <w:jc w:val="left"/>
        <w:rPr>
          <w:rFonts w:ascii="仿宋_GB2312" w:hAnsi="宋体" w:eastAsia="仿宋_GB2312"/>
          <w:b/>
          <w:color w:val="auto"/>
          <w:sz w:val="32"/>
          <w:szCs w:val="32"/>
          <w:highlight w:val="none"/>
        </w:rPr>
      </w:pPr>
      <w:r>
        <w:rPr>
          <w:rFonts w:hint="eastAsia" w:ascii="仿宋_GB2312" w:hAnsi="宋体" w:eastAsia="仿宋_GB2312" w:cs="仿宋_GB2312"/>
          <w:b/>
          <w:color w:val="auto"/>
          <w:sz w:val="32"/>
          <w:szCs w:val="32"/>
          <w:highlight w:val="none"/>
          <w:lang w:bidi="ar"/>
        </w:rPr>
        <w:t>二、其他证明材料：</w:t>
      </w:r>
    </w:p>
    <w:p w14:paraId="2582F4DC">
      <w:pPr>
        <w:autoSpaceDE w:val="0"/>
        <w:autoSpaceDN w:val="0"/>
        <w:adjustRightInd w:val="0"/>
        <w:snapToGrid w:val="0"/>
        <w:spacing w:line="560" w:lineRule="exact"/>
        <w:ind w:firstLine="640" w:firstLineChars="200"/>
        <w:rPr>
          <w:rFonts w:ascii="仿宋_GB2312" w:hAnsi="宋体" w:eastAsia="仿宋_GB2312" w:cs="仿宋_GB2312"/>
          <w:color w:val="auto"/>
          <w:sz w:val="32"/>
          <w:szCs w:val="32"/>
          <w:highlight w:val="none"/>
          <w:lang w:bidi="ar"/>
        </w:rPr>
      </w:pPr>
      <w:r>
        <w:rPr>
          <w:rFonts w:hint="eastAsia" w:ascii="仿宋_GB2312" w:hAnsi="宋体" w:eastAsia="仿宋_GB2312" w:cs="仿宋_GB2312"/>
          <w:color w:val="auto"/>
          <w:sz w:val="32"/>
          <w:szCs w:val="32"/>
          <w:highlight w:val="none"/>
          <w:lang w:bidi="ar"/>
        </w:rPr>
        <w:t>1.简要企业概述、相关资质证明；</w:t>
      </w:r>
    </w:p>
    <w:p w14:paraId="42D5E1A5">
      <w:pPr>
        <w:autoSpaceDE w:val="0"/>
        <w:autoSpaceDN w:val="0"/>
        <w:adjustRightInd w:val="0"/>
        <w:snapToGrid w:val="0"/>
        <w:spacing w:line="560" w:lineRule="exact"/>
        <w:ind w:firstLine="640" w:firstLineChars="200"/>
        <w:rPr>
          <w:rFonts w:ascii="仿宋_GB2312" w:hAnsi="宋体" w:eastAsia="仿宋_GB2312" w:cs="仿宋_GB2312"/>
          <w:color w:val="auto"/>
          <w:sz w:val="32"/>
          <w:szCs w:val="32"/>
          <w:highlight w:val="none"/>
          <w:lang w:bidi="ar"/>
        </w:rPr>
      </w:pPr>
      <w:r>
        <w:rPr>
          <w:rFonts w:hint="eastAsia" w:ascii="仿宋_GB2312" w:hAnsi="宋体" w:eastAsia="仿宋_GB2312" w:cs="仿宋_GB2312"/>
          <w:color w:val="auto"/>
          <w:sz w:val="32"/>
          <w:szCs w:val="32"/>
          <w:highlight w:val="none"/>
          <w:lang w:bidi="ar"/>
        </w:rPr>
        <w:t>2.项目</w:t>
      </w:r>
      <w:r>
        <w:rPr>
          <w:rFonts w:hint="eastAsia" w:ascii="仿宋_GB2312" w:hAnsi="宋体" w:eastAsia="仿宋_GB2312" w:cs="仿宋_GB2312"/>
          <w:color w:val="auto"/>
          <w:sz w:val="32"/>
          <w:szCs w:val="32"/>
          <w:highlight w:val="none"/>
          <w:lang w:val="en-US" w:eastAsia="zh-CN" w:bidi="ar"/>
        </w:rPr>
        <w:t>技术方案</w:t>
      </w:r>
      <w:r>
        <w:rPr>
          <w:rFonts w:hint="eastAsia" w:ascii="仿宋_GB2312" w:hAnsi="宋体" w:eastAsia="仿宋_GB2312" w:cs="仿宋_GB2312"/>
          <w:color w:val="auto"/>
          <w:sz w:val="32"/>
          <w:szCs w:val="32"/>
          <w:highlight w:val="none"/>
          <w:lang w:bidi="ar"/>
        </w:rPr>
        <w:t>；</w:t>
      </w:r>
    </w:p>
    <w:p w14:paraId="30FB5C9A">
      <w:pPr>
        <w:autoSpaceDE w:val="0"/>
        <w:autoSpaceDN w:val="0"/>
        <w:adjustRightInd w:val="0"/>
        <w:snapToGrid w:val="0"/>
        <w:spacing w:line="560" w:lineRule="exact"/>
        <w:ind w:firstLine="640" w:firstLineChars="200"/>
        <w:rPr>
          <w:rFonts w:ascii="仿宋_GB2312" w:hAnsi="宋体" w:eastAsia="仿宋_GB2312" w:cs="仿宋_GB2312"/>
          <w:color w:val="auto"/>
          <w:sz w:val="32"/>
          <w:szCs w:val="32"/>
          <w:highlight w:val="none"/>
          <w:lang w:bidi="ar"/>
        </w:rPr>
      </w:pPr>
      <w:r>
        <w:rPr>
          <w:rFonts w:hint="eastAsia" w:ascii="仿宋_GB2312" w:hAnsi="宋体" w:eastAsia="仿宋_GB2312" w:cs="仿宋_GB2312"/>
          <w:color w:val="auto"/>
          <w:sz w:val="32"/>
          <w:szCs w:val="32"/>
          <w:highlight w:val="none"/>
          <w:lang w:bidi="ar"/>
        </w:rPr>
        <w:t>3.拟安排项目管理团队介绍（包括团队成员的教育背景、工作经验和专业能力）；</w:t>
      </w:r>
    </w:p>
    <w:p w14:paraId="4E1FC63D">
      <w:pPr>
        <w:autoSpaceDE w:val="0"/>
        <w:autoSpaceDN w:val="0"/>
        <w:adjustRightInd w:val="0"/>
        <w:snapToGrid w:val="0"/>
        <w:spacing w:line="560" w:lineRule="exact"/>
        <w:ind w:firstLine="640" w:firstLineChars="200"/>
        <w:rPr>
          <w:rFonts w:eastAsia="仿宋_GB2312"/>
          <w:color w:val="auto"/>
          <w:highlight w:val="none"/>
        </w:rPr>
      </w:pPr>
      <w:r>
        <w:rPr>
          <w:rFonts w:hint="eastAsia" w:ascii="仿宋_GB2312" w:hAnsi="宋体" w:eastAsia="仿宋_GB2312" w:cs="仿宋_GB2312"/>
          <w:color w:val="auto"/>
          <w:sz w:val="32"/>
          <w:szCs w:val="32"/>
          <w:highlight w:val="none"/>
          <w:lang w:bidi="ar"/>
        </w:rPr>
        <w:t>4.近三年承担的类似项目业绩一览表（附相关业绩证明材料复印件）；</w:t>
      </w:r>
    </w:p>
    <w:p w14:paraId="04335A4D">
      <w:pPr>
        <w:autoSpaceDE w:val="0"/>
        <w:autoSpaceDN w:val="0"/>
        <w:adjustRightInd w:val="0"/>
        <w:snapToGrid w:val="0"/>
        <w:spacing w:line="560" w:lineRule="exact"/>
        <w:ind w:firstLine="640" w:firstLineChars="200"/>
        <w:rPr>
          <w:rFonts w:ascii="仿宋_GB2312" w:hAnsi="宋体" w:eastAsia="仿宋_GB2312" w:cs="仿宋_GB2312"/>
          <w:color w:val="auto"/>
          <w:sz w:val="32"/>
          <w:szCs w:val="32"/>
          <w:highlight w:val="none"/>
          <w:lang w:bidi="ar"/>
        </w:rPr>
      </w:pPr>
      <w:r>
        <w:rPr>
          <w:rFonts w:hint="eastAsia" w:ascii="仿宋_GB2312" w:hAnsi="宋体" w:eastAsia="仿宋_GB2312" w:cs="仿宋_GB2312"/>
          <w:color w:val="auto"/>
          <w:sz w:val="32"/>
          <w:szCs w:val="32"/>
          <w:highlight w:val="none"/>
          <w:lang w:bidi="ar"/>
        </w:rPr>
        <w:t>5.供应商认为需要提交的其他资料。</w:t>
      </w:r>
    </w:p>
    <w:p w14:paraId="7AC0CD78">
      <w:pPr>
        <w:autoSpaceDE w:val="0"/>
        <w:autoSpaceDN w:val="0"/>
        <w:adjustRightInd w:val="0"/>
        <w:snapToGrid w:val="0"/>
        <w:spacing w:line="560" w:lineRule="exact"/>
        <w:ind w:firstLine="640" w:firstLineChars="200"/>
        <w:rPr>
          <w:rFonts w:ascii="仿宋_GB2312" w:hAnsi="Times New Roman" w:eastAsia="仿宋_GB2312" w:cs="仿宋_GB2312"/>
          <w:color w:val="auto"/>
          <w:sz w:val="32"/>
          <w:szCs w:val="32"/>
          <w:highlight w:val="none"/>
          <w:lang w:bidi="ar"/>
        </w:rPr>
      </w:pPr>
    </w:p>
    <w:p w14:paraId="5CACAB80">
      <w:pPr>
        <w:autoSpaceDE w:val="0"/>
        <w:autoSpaceDN w:val="0"/>
        <w:adjustRightInd w:val="0"/>
        <w:snapToGrid w:val="0"/>
        <w:spacing w:line="360" w:lineRule="auto"/>
        <w:rPr>
          <w:rFonts w:ascii="仿宋_GB2312" w:hAnsi="Times New Roman" w:eastAsia="仿宋_GB2312" w:cs="仿宋_GB2312"/>
          <w:color w:val="auto"/>
          <w:sz w:val="28"/>
          <w:szCs w:val="28"/>
          <w:highlight w:val="none"/>
          <w:lang w:bidi="ar"/>
        </w:rPr>
      </w:pPr>
    </w:p>
    <w:p w14:paraId="64C75518">
      <w:pPr>
        <w:autoSpaceDE w:val="0"/>
        <w:autoSpaceDN w:val="0"/>
        <w:adjustRightInd w:val="0"/>
        <w:snapToGrid w:val="0"/>
        <w:spacing w:line="560" w:lineRule="exact"/>
        <w:ind w:firstLine="560" w:firstLineChars="200"/>
        <w:rPr>
          <w:rFonts w:ascii="仿宋_GB2312" w:hAnsi="Times New Roman" w:eastAsia="仿宋_GB2312" w:cs="仿宋_GB2312"/>
          <w:color w:val="auto"/>
          <w:sz w:val="28"/>
          <w:szCs w:val="28"/>
          <w:highlight w:val="none"/>
          <w:lang w:bidi="ar"/>
        </w:rPr>
      </w:pPr>
      <w:r>
        <w:rPr>
          <w:rFonts w:hint="eastAsia" w:ascii="仿宋_GB2312" w:hAnsi="Times New Roman" w:eastAsia="仿宋_GB2312" w:cs="仿宋_GB2312"/>
          <w:color w:val="auto"/>
          <w:sz w:val="28"/>
          <w:szCs w:val="28"/>
          <w:highlight w:val="none"/>
          <w:lang w:bidi="ar"/>
        </w:rPr>
        <w:t>注：如有《评标方法》评分的相应内容，请详细阐述并提供相关证明及说明，请编制本项目投标文件目录，为便于参与该项目的采购小组成员的评标，快速找到评标事项与该项目响应文件所对应的位置。</w:t>
      </w:r>
      <w:r>
        <w:rPr>
          <w:rFonts w:hint="eastAsia" w:ascii="仿宋_GB2312" w:hAnsi="仿宋_GB2312" w:eastAsia="仿宋_GB2312" w:cs="仿宋_GB2312"/>
          <w:color w:val="auto"/>
          <w:sz w:val="28"/>
          <w:szCs w:val="28"/>
          <w:highlight w:val="none"/>
        </w:rPr>
        <w:t>所</w:t>
      </w:r>
      <w:r>
        <w:rPr>
          <w:rFonts w:hint="eastAsia" w:ascii="仿宋_GB2312" w:hAnsi="Times New Roman" w:eastAsia="仿宋_GB2312" w:cs="仿宋_GB2312"/>
          <w:color w:val="auto"/>
          <w:sz w:val="28"/>
          <w:szCs w:val="28"/>
          <w:highlight w:val="none"/>
          <w:lang w:bidi="ar"/>
        </w:rPr>
        <w:t>提供材料须清晰且加盖公章。</w:t>
      </w:r>
    </w:p>
    <w:p w14:paraId="16C1F729">
      <w:pPr>
        <w:rPr>
          <w:color w:val="auto"/>
          <w:highlight w:val="none"/>
        </w:rPr>
      </w:pPr>
    </w:p>
    <w:p w14:paraId="01253934">
      <w:pPr>
        <w:rPr>
          <w:color w:val="auto"/>
          <w:highlight w:val="none"/>
        </w:rPr>
      </w:pPr>
    </w:p>
    <w:p w14:paraId="22AF4C61">
      <w:pPr>
        <w:rPr>
          <w:color w:val="auto"/>
          <w:highlight w:val="none"/>
        </w:rPr>
      </w:pPr>
    </w:p>
    <w:p w14:paraId="37ABEC8F">
      <w:pPr>
        <w:rPr>
          <w:color w:val="auto"/>
          <w:highlight w:val="none"/>
        </w:rPr>
      </w:pPr>
    </w:p>
    <w:p w14:paraId="4C60C002">
      <w:pPr>
        <w:rPr>
          <w:color w:val="auto"/>
          <w:highlight w:val="none"/>
        </w:rPr>
      </w:pPr>
    </w:p>
    <w:p w14:paraId="6C73D11A">
      <w:pPr>
        <w:rPr>
          <w:color w:val="auto"/>
          <w:highlight w:val="none"/>
        </w:rPr>
      </w:pPr>
    </w:p>
    <w:p w14:paraId="47775541">
      <w:pPr>
        <w:rPr>
          <w:color w:val="auto"/>
          <w:highlight w:val="none"/>
        </w:rPr>
      </w:pPr>
    </w:p>
    <w:p w14:paraId="3CA15D40">
      <w:pPr>
        <w:rPr>
          <w:color w:val="auto"/>
          <w:highlight w:val="none"/>
        </w:rPr>
      </w:pPr>
    </w:p>
    <w:p w14:paraId="7CE70D57">
      <w:pPr>
        <w:rPr>
          <w:color w:val="auto"/>
          <w:highlight w:val="none"/>
        </w:rPr>
      </w:pPr>
    </w:p>
    <w:p w14:paraId="0CAF7258">
      <w:pPr>
        <w:rPr>
          <w:color w:val="auto"/>
          <w:highlight w:val="none"/>
        </w:rPr>
      </w:pPr>
    </w:p>
    <w:p w14:paraId="44EF4747">
      <w:pPr>
        <w:rPr>
          <w:color w:val="auto"/>
          <w:highlight w:val="none"/>
        </w:rPr>
      </w:pPr>
    </w:p>
    <w:p w14:paraId="43D0234F">
      <w:pPr>
        <w:rPr>
          <w:color w:val="auto"/>
          <w:highlight w:val="none"/>
        </w:rPr>
      </w:pPr>
    </w:p>
    <w:p w14:paraId="1CC51F24">
      <w:pPr>
        <w:pStyle w:val="2"/>
        <w:ind w:firstLine="0" w:firstLineChars="0"/>
        <w:rPr>
          <w:color w:val="auto"/>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E2E7C9-302B-4A38-87A0-2D66279FD1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EEBEA7C-6CF2-48A4-A2F9-E53DDCA27C75}"/>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72672A7A-06FB-4178-A89F-F5DCE6105A02}"/>
  </w:font>
  <w:font w:name="方正小标宋_GBK">
    <w:altName w:val="微软雅黑"/>
    <w:panose1 w:val="03000509000000000000"/>
    <w:charset w:val="86"/>
    <w:family w:val="auto"/>
    <w:pitch w:val="default"/>
    <w:sig w:usb0="00000000" w:usb1="00000000" w:usb2="00000000" w:usb3="00000000" w:csb0="00040000" w:csb1="00000000"/>
    <w:embedRegular r:id="rId4" w:fontKey="{744722C0-087B-46AF-9A96-38C1276983E7}"/>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embedRegular r:id="rId5" w:fontKey="{9D372B0F-DB76-4BE4-8F80-AD11FE10909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6" w:fontKey="{2452E88E-EF4E-404D-BCC2-381F9B21200C}"/>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embedRegular r:id="rId7" w:fontKey="{14AF0D10-8F00-43BF-9558-B7A935CEF9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368C4">
    <w:pPr>
      <w:snapToGrid w:val="0"/>
      <w:spacing w:line="240" w:lineRule="atLeast"/>
      <w:ind w:firstLine="360" w:firstLineChars="200"/>
      <w:jc w:val="left"/>
      <w:rPr>
        <w:rFonts w:ascii="Times New Roman" w:hAnsi="Times New Roman" w:eastAsia="仿宋"/>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5210175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5F511">
                          <w:pPr>
                            <w:pStyle w:val="1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4</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0.25pt;margin-top:0pt;height:144pt;width:144pt;mso-position-horizontal-relative:margin;mso-wrap-style:none;z-index:251659264;mso-width-relative:page;mso-height-relative:page;" filled="f" stroked="f" coordsize="21600,21600" o:gfxdata="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CTpT41AAAAAk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4055F511">
                    <w:pPr>
                      <w:pStyle w:val="1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4</w:t>
                    </w:r>
                    <w:r>
                      <w:rPr>
                        <w:rFonts w:hint="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CA56">
    <w:pPr>
      <w:snapToGrid w:val="0"/>
      <w:spacing w:line="240" w:lineRule="atLeast"/>
      <w:ind w:firstLine="360" w:firstLineChars="200"/>
      <w:jc w:val="left"/>
      <w:rPr>
        <w:rFonts w:ascii="Times New Roman" w:hAnsi="Times New Roman" w:eastAsia="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2C61">
    <w:pPr>
      <w:snapToGrid w:val="0"/>
      <w:spacing w:line="240" w:lineRule="atLeast"/>
      <w:ind w:firstLine="360" w:firstLineChars="200"/>
      <w:jc w:val="left"/>
      <w:rPr>
        <w:rFonts w:ascii="Times New Roman" w:hAnsi="Times New Roman" w:eastAsia="仿宋"/>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977D">
    <w:pPr>
      <w:spacing w:line="560" w:lineRule="exact"/>
      <w:ind w:left="640"/>
      <w:rPr>
        <w:rFonts w:ascii="Times New Roman" w:hAnsi="Times New Roman" w:eastAsia="仿宋"/>
        <w:sz w:val="32"/>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BDB0">
    <w:pPr>
      <w:pBdr>
        <w:bottom w:val="single" w:color="auto" w:sz="6" w:space="1"/>
      </w:pBdr>
      <w:snapToGrid w:val="0"/>
      <w:spacing w:line="240" w:lineRule="atLeast"/>
      <w:ind w:firstLine="360" w:firstLineChars="200"/>
      <w:jc w:val="center"/>
      <w:rPr>
        <w:rFonts w:ascii="Times New Roman" w:hAnsi="Times New Roman" w:eastAsia="仿宋"/>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C9DA8">
    <w:pPr>
      <w:pBdr>
        <w:bottom w:val="single" w:color="auto" w:sz="6" w:space="1"/>
      </w:pBdr>
      <w:snapToGrid w:val="0"/>
      <w:spacing w:line="240" w:lineRule="atLeast"/>
      <w:ind w:firstLine="360" w:firstLineChars="200"/>
      <w:jc w:val="center"/>
      <w:rPr>
        <w:rFonts w:ascii="Times New Roman" w:hAnsi="Times New Roman" w:eastAsia="仿宋"/>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CD605"/>
    <w:multiLevelType w:val="multilevel"/>
    <w:tmpl w:val="F77CD605"/>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2BDF3E10"/>
    <w:multiLevelType w:val="multilevel"/>
    <w:tmpl w:val="2BDF3E10"/>
    <w:lvl w:ilvl="0" w:tentative="0">
      <w:start w:val="1"/>
      <w:numFmt w:val="decimal"/>
      <w:suff w:val="space"/>
      <w:lvlText w:val="第%1章 "/>
      <w:lvlJc w:val="left"/>
      <w:pPr>
        <w:ind w:left="2694" w:firstLine="0"/>
      </w:pPr>
      <w:rPr>
        <w:rFonts w:hint="default" w:ascii="Times New Roman" w:hAnsi="Times New Roman" w:eastAsia="黑体" w:cs="Times New Roman"/>
        <w:b w:val="0"/>
        <w:bCs/>
        <w:sz w:val="44"/>
      </w:rPr>
    </w:lvl>
    <w:lvl w:ilvl="1" w:tentative="0">
      <w:start w:val="1"/>
      <w:numFmt w:val="decimal"/>
      <w:isLgl/>
      <w:suff w:val="nothing"/>
      <w:lvlText w:val="%1.%2 "/>
      <w:lvlJc w:val="left"/>
      <w:pPr>
        <w:ind w:left="0" w:firstLine="0"/>
      </w:pPr>
      <w:rPr>
        <w:rFonts w:hint="default" w:ascii="Times New Roman" w:hAnsi="Times New Roman"/>
        <w:lang w:val="en-US"/>
      </w:rPr>
    </w:lvl>
    <w:lvl w:ilvl="2" w:tentative="0">
      <w:start w:val="1"/>
      <w:numFmt w:val="decimal"/>
      <w:pStyle w:val="28"/>
      <w:isLgl/>
      <w:suff w:val="nothing"/>
      <w:lvlText w:val="%1.%2.%3 "/>
      <w:lvlJc w:val="left"/>
      <w:pPr>
        <w:ind w:left="2694" w:firstLine="0"/>
      </w:pPr>
      <w:rPr>
        <w:rFonts w:hint="default" w:ascii="Times New Roman" w:hAnsi="Times New Roman" w:cs="Times New Roman"/>
        <w:sz w:val="30"/>
        <w:szCs w:val="30"/>
        <w:lang w:val="en-US"/>
      </w:rPr>
    </w:lvl>
    <w:lvl w:ilvl="3" w:tentative="0">
      <w:start w:val="1"/>
      <w:numFmt w:val="decimal"/>
      <w:isLgl/>
      <w:suff w:val="nothing"/>
      <w:lvlText w:val="%1.%2.%3.%4 "/>
      <w:lvlJc w:val="left"/>
      <w:pPr>
        <w:ind w:left="993" w:firstLine="0"/>
      </w:pPr>
      <w:rPr>
        <w:rFonts w:hint="default" w:ascii="Times New Roman" w:hAnsi="Times New Roman" w:cs="Times New Roman"/>
        <w:b w:val="0"/>
        <w:bCs/>
        <w:i w:val="0"/>
        <w:iCs w:val="0"/>
        <w:caps w:val="0"/>
        <w:smallCaps w:val="0"/>
        <w:strike w:val="0"/>
        <w:dstrike w:val="0"/>
        <w:vanish w:val="0"/>
        <w:color w:val="000000"/>
        <w:spacing w:val="0"/>
        <w:position w:val="0"/>
        <w:sz w:val="28"/>
        <w:szCs w:val="28"/>
        <w:u w:val="none"/>
        <w:vertAlign w:val="baseline"/>
      </w:rPr>
    </w:lvl>
    <w:lvl w:ilvl="4" w:tentative="0">
      <w:start w:val="1"/>
      <w:numFmt w:val="decimal"/>
      <w:isLgl/>
      <w:suff w:val="space"/>
      <w:lvlText w:val="%1.%2.%3.%4.%5 "/>
      <w:lvlJc w:val="left"/>
      <w:pPr>
        <w:ind w:left="1134" w:hanging="567"/>
      </w:pPr>
      <w:rPr>
        <w:rFonts w:hint="default" w:ascii="Times New Roman" w:hAnsi="Times New Roman" w:cs="Times New Roman"/>
        <w:b w:val="0"/>
        <w:bCs w:val="0"/>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5ZDE1YmViMDlkYzkxMTU3ODg5ZmNiNWRhZTNmMjAifQ=="/>
  </w:docVars>
  <w:rsids>
    <w:rsidRoot w:val="00904BBD"/>
    <w:rsid w:val="000E7CAA"/>
    <w:rsid w:val="001A3DFA"/>
    <w:rsid w:val="001C5447"/>
    <w:rsid w:val="00341BBE"/>
    <w:rsid w:val="00357E44"/>
    <w:rsid w:val="003D4861"/>
    <w:rsid w:val="00503169"/>
    <w:rsid w:val="0051470D"/>
    <w:rsid w:val="005258F2"/>
    <w:rsid w:val="005B0B87"/>
    <w:rsid w:val="00672DB2"/>
    <w:rsid w:val="006D07D4"/>
    <w:rsid w:val="007224DB"/>
    <w:rsid w:val="00785D21"/>
    <w:rsid w:val="007B66DA"/>
    <w:rsid w:val="00904BBD"/>
    <w:rsid w:val="00942B18"/>
    <w:rsid w:val="009644A5"/>
    <w:rsid w:val="009676E4"/>
    <w:rsid w:val="009B5047"/>
    <w:rsid w:val="00A0123E"/>
    <w:rsid w:val="00A44BE2"/>
    <w:rsid w:val="00A818B7"/>
    <w:rsid w:val="00A928BF"/>
    <w:rsid w:val="00AF523A"/>
    <w:rsid w:val="00B0674E"/>
    <w:rsid w:val="00D276DF"/>
    <w:rsid w:val="00D3073B"/>
    <w:rsid w:val="00D56C05"/>
    <w:rsid w:val="00DA185C"/>
    <w:rsid w:val="00DF60AA"/>
    <w:rsid w:val="00E11249"/>
    <w:rsid w:val="00E16562"/>
    <w:rsid w:val="00EA0164"/>
    <w:rsid w:val="00EB3A79"/>
    <w:rsid w:val="00F1297A"/>
    <w:rsid w:val="00F5499D"/>
    <w:rsid w:val="039215BA"/>
    <w:rsid w:val="0500577B"/>
    <w:rsid w:val="06B82D57"/>
    <w:rsid w:val="06F655F2"/>
    <w:rsid w:val="07737FD6"/>
    <w:rsid w:val="0818048D"/>
    <w:rsid w:val="09F4173F"/>
    <w:rsid w:val="0B155ABA"/>
    <w:rsid w:val="108A0896"/>
    <w:rsid w:val="1135597F"/>
    <w:rsid w:val="12386F11"/>
    <w:rsid w:val="12662131"/>
    <w:rsid w:val="13A72E26"/>
    <w:rsid w:val="14282B24"/>
    <w:rsid w:val="153F18A6"/>
    <w:rsid w:val="18060B2F"/>
    <w:rsid w:val="18578B09"/>
    <w:rsid w:val="19FB3676"/>
    <w:rsid w:val="1EBD6421"/>
    <w:rsid w:val="1FFC2D0E"/>
    <w:rsid w:val="24BF5CE7"/>
    <w:rsid w:val="2A50137C"/>
    <w:rsid w:val="2A7C0237"/>
    <w:rsid w:val="2B2B1976"/>
    <w:rsid w:val="2CA32252"/>
    <w:rsid w:val="2D297B2E"/>
    <w:rsid w:val="2D361128"/>
    <w:rsid w:val="2D5965AC"/>
    <w:rsid w:val="2D6B6EFB"/>
    <w:rsid w:val="32105E3D"/>
    <w:rsid w:val="32F46518"/>
    <w:rsid w:val="34E412C0"/>
    <w:rsid w:val="372B7689"/>
    <w:rsid w:val="376B5BDD"/>
    <w:rsid w:val="37D604B0"/>
    <w:rsid w:val="37FD95CE"/>
    <w:rsid w:val="385C3D99"/>
    <w:rsid w:val="3A655DDB"/>
    <w:rsid w:val="3D676E7D"/>
    <w:rsid w:val="3DB749F4"/>
    <w:rsid w:val="3DC3526B"/>
    <w:rsid w:val="3DFA4F9E"/>
    <w:rsid w:val="3DFDA0C6"/>
    <w:rsid w:val="3E192259"/>
    <w:rsid w:val="3FCFAB87"/>
    <w:rsid w:val="3FECE67D"/>
    <w:rsid w:val="403B3CB7"/>
    <w:rsid w:val="436FA791"/>
    <w:rsid w:val="43C24B4C"/>
    <w:rsid w:val="449F4F16"/>
    <w:rsid w:val="46652E5D"/>
    <w:rsid w:val="467459B4"/>
    <w:rsid w:val="477F704D"/>
    <w:rsid w:val="4CB44B77"/>
    <w:rsid w:val="4CB538AA"/>
    <w:rsid w:val="4E5F429C"/>
    <w:rsid w:val="4F060D34"/>
    <w:rsid w:val="53445A64"/>
    <w:rsid w:val="553270E2"/>
    <w:rsid w:val="576DC128"/>
    <w:rsid w:val="57EF1C41"/>
    <w:rsid w:val="587E670A"/>
    <w:rsid w:val="5B277DE4"/>
    <w:rsid w:val="5CF6E40D"/>
    <w:rsid w:val="5DC7071B"/>
    <w:rsid w:val="5DEDEF8D"/>
    <w:rsid w:val="5E5F6778"/>
    <w:rsid w:val="643E7318"/>
    <w:rsid w:val="6465648A"/>
    <w:rsid w:val="665A3EED"/>
    <w:rsid w:val="68A27080"/>
    <w:rsid w:val="69674360"/>
    <w:rsid w:val="69A31C95"/>
    <w:rsid w:val="6B415894"/>
    <w:rsid w:val="6BCDD43A"/>
    <w:rsid w:val="6BEC4907"/>
    <w:rsid w:val="6D7FBD1A"/>
    <w:rsid w:val="6DEC6E31"/>
    <w:rsid w:val="6EDE1835"/>
    <w:rsid w:val="6F9E3B94"/>
    <w:rsid w:val="6FAC6361"/>
    <w:rsid w:val="71E40B65"/>
    <w:rsid w:val="735EA5ED"/>
    <w:rsid w:val="73B69BCD"/>
    <w:rsid w:val="74AB25B8"/>
    <w:rsid w:val="77992ED7"/>
    <w:rsid w:val="77BF92C6"/>
    <w:rsid w:val="793FF9B5"/>
    <w:rsid w:val="7A370FA9"/>
    <w:rsid w:val="7AEFC48E"/>
    <w:rsid w:val="7B00036D"/>
    <w:rsid w:val="7B367607"/>
    <w:rsid w:val="7BE13F9D"/>
    <w:rsid w:val="7BFF6401"/>
    <w:rsid w:val="7D7EADEA"/>
    <w:rsid w:val="7DA939D5"/>
    <w:rsid w:val="7DED582E"/>
    <w:rsid w:val="7EA7F155"/>
    <w:rsid w:val="7FED5391"/>
    <w:rsid w:val="7FEFF335"/>
    <w:rsid w:val="7FF76A4E"/>
    <w:rsid w:val="8FFE2779"/>
    <w:rsid w:val="AD7F2965"/>
    <w:rsid w:val="B4FF150F"/>
    <w:rsid w:val="BAC57C7C"/>
    <w:rsid w:val="BCDEA001"/>
    <w:rsid w:val="BEDB712B"/>
    <w:rsid w:val="BEEF1DC2"/>
    <w:rsid w:val="C7FEE9CC"/>
    <w:rsid w:val="D7711B0F"/>
    <w:rsid w:val="DAEC43B3"/>
    <w:rsid w:val="DCFB8F9E"/>
    <w:rsid w:val="DD7F14A1"/>
    <w:rsid w:val="DDF99292"/>
    <w:rsid w:val="DDFF8D43"/>
    <w:rsid w:val="DF7B8D8A"/>
    <w:rsid w:val="DFBFE38A"/>
    <w:rsid w:val="DFFFE13C"/>
    <w:rsid w:val="ED3F8630"/>
    <w:rsid w:val="EDC566EF"/>
    <w:rsid w:val="EEB74700"/>
    <w:rsid w:val="EF569F1C"/>
    <w:rsid w:val="EFE18E53"/>
    <w:rsid w:val="F2F9E3A9"/>
    <w:rsid w:val="F35DFB89"/>
    <w:rsid w:val="F4DF8E6C"/>
    <w:rsid w:val="F689471A"/>
    <w:rsid w:val="F6FE9B68"/>
    <w:rsid w:val="F7DF1079"/>
    <w:rsid w:val="F9EF45FF"/>
    <w:rsid w:val="FBDF6BE1"/>
    <w:rsid w:val="FBE75F35"/>
    <w:rsid w:val="FBFC9C28"/>
    <w:rsid w:val="FE98BCCA"/>
    <w:rsid w:val="FEF5EDB2"/>
    <w:rsid w:val="FEF7DC17"/>
    <w:rsid w:val="FFBF4E1B"/>
    <w:rsid w:val="FFDE3A90"/>
    <w:rsid w:val="FFDFEAB1"/>
    <w:rsid w:val="FFEB3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99"/>
    <w:pPr>
      <w:keepNext/>
      <w:keepLines/>
      <w:widowControl w:val="0"/>
      <w:spacing w:before="340" w:after="330" w:line="578" w:lineRule="auto"/>
      <w:ind w:firstLine="641" w:firstLineChars="200"/>
      <w:jc w:val="both"/>
      <w:outlineLvl w:val="0"/>
    </w:pPr>
    <w:rPr>
      <w:rFonts w:ascii="Times New Roman" w:hAnsi="Times New Roman" w:eastAsia="仿宋" w:cs="Times New Roman"/>
      <w:b/>
      <w:bCs/>
      <w:kern w:val="44"/>
      <w:sz w:val="44"/>
      <w:szCs w:val="44"/>
      <w:lang w:val="en-US" w:eastAsia="zh-CN" w:bidi="ar-SA"/>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7"/>
    <w:qFormat/>
    <w:uiPriority w:val="0"/>
    <w:pPr>
      <w:spacing w:line="560" w:lineRule="exact"/>
      <w:ind w:firstLine="420" w:firstLineChars="200"/>
    </w:pPr>
  </w:style>
  <w:style w:type="paragraph" w:styleId="5">
    <w:name w:val="annotation text"/>
    <w:basedOn w:val="1"/>
    <w:link w:val="24"/>
    <w:qFormat/>
    <w:uiPriority w:val="0"/>
    <w:pPr>
      <w:jc w:val="left"/>
    </w:pPr>
  </w:style>
  <w:style w:type="paragraph" w:styleId="6">
    <w:name w:val="Body Text"/>
    <w:basedOn w:val="1"/>
    <w:next w:val="7"/>
    <w:qFormat/>
    <w:uiPriority w:val="0"/>
    <w:pPr>
      <w:spacing w:line="360" w:lineRule="auto"/>
    </w:pPr>
    <w:rPr>
      <w:b/>
      <w:bCs/>
      <w:sz w:val="24"/>
    </w:rPr>
  </w:style>
  <w:style w:type="paragraph" w:styleId="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8">
    <w:name w:val="Plain Text"/>
    <w:basedOn w:val="1"/>
    <w:unhideWhenUsed/>
    <w:qFormat/>
    <w:uiPriority w:val="0"/>
    <w:pPr>
      <w:spacing w:line="560" w:lineRule="exact"/>
      <w:ind w:firstLine="641" w:firstLineChars="200"/>
    </w:pPr>
    <w:rPr>
      <w:rFonts w:hint="eastAsia" w:ascii="宋体" w:hAnsi="Courier New" w:eastAsia="仿宋"/>
      <w:sz w:val="32"/>
    </w:rPr>
  </w:style>
  <w:style w:type="paragraph" w:styleId="9">
    <w:name w:val="Balloon Text"/>
    <w:basedOn w:val="1"/>
    <w:link w:val="31"/>
    <w:qFormat/>
    <w:uiPriority w:val="0"/>
    <w:rPr>
      <w:rFonts w:ascii="宋体"/>
      <w:sz w:val="18"/>
      <w:szCs w:val="18"/>
    </w:rPr>
  </w:style>
  <w:style w:type="paragraph" w:styleId="10">
    <w:name w:val="footer"/>
    <w:basedOn w:val="1"/>
    <w:qFormat/>
    <w:uiPriority w:val="0"/>
    <w:pPr>
      <w:tabs>
        <w:tab w:val="center" w:pos="4153"/>
        <w:tab w:val="right" w:pos="8306"/>
      </w:tabs>
      <w:snapToGrid w:val="0"/>
      <w:spacing w:line="240" w:lineRule="atLeast"/>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2">
    <w:name w:val="Body Text 2"/>
    <w:basedOn w:val="1"/>
    <w:qFormat/>
    <w:uiPriority w:val="0"/>
    <w:pPr>
      <w:spacing w:line="360" w:lineRule="auto"/>
    </w:pPr>
    <w:rPr>
      <w:sz w:val="24"/>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5"/>
    <w:next w:val="5"/>
    <w:link w:val="25"/>
    <w:qFormat/>
    <w:uiPriority w:val="0"/>
    <w:rPr>
      <w:b/>
      <w:bCs/>
    </w:rPr>
  </w:style>
  <w:style w:type="table" w:styleId="16">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annotation reference"/>
    <w:basedOn w:val="17"/>
    <w:qFormat/>
    <w:uiPriority w:val="0"/>
    <w:rPr>
      <w:sz w:val="21"/>
      <w:szCs w:val="21"/>
    </w:rPr>
  </w:style>
  <w:style w:type="paragraph" w:customStyle="1" w:styleId="21">
    <w:name w:val="函 正文"/>
    <w:unhideWhenUsed/>
    <w:qFormat/>
    <w:uiPriority w:val="0"/>
    <w:pPr>
      <w:widowControl w:val="0"/>
      <w:spacing w:line="560" w:lineRule="exact"/>
      <w:ind w:firstLine="641" w:firstLineChars="200"/>
      <w:jc w:val="both"/>
    </w:pPr>
    <w:rPr>
      <w:rFonts w:hint="eastAsia" w:ascii="仿宋_GB2312" w:hAnsi="Calibri" w:eastAsia="仿宋_GB2312" w:cs="Times New Roman"/>
      <w:sz w:val="32"/>
      <w:lang w:val="en-US" w:eastAsia="zh-CN" w:bidi="ar-SA"/>
    </w:rPr>
  </w:style>
  <w:style w:type="paragraph" w:customStyle="1" w:styleId="22">
    <w:name w:val="Heading3"/>
    <w:next w:val="1"/>
    <w:qFormat/>
    <w:uiPriority w:val="0"/>
    <w:pPr>
      <w:keepNext/>
      <w:keepLines/>
      <w:widowControl w:val="0"/>
      <w:spacing w:before="140" w:after="140" w:line="360" w:lineRule="auto"/>
      <w:ind w:firstLine="560"/>
      <w:jc w:val="both"/>
      <w:textAlignment w:val="baseline"/>
    </w:pPr>
    <w:rPr>
      <w:rFonts w:ascii="Calibri" w:hAnsi="Calibri" w:eastAsia="黑体" w:cs="Times New Roman"/>
      <w:kern w:val="2"/>
      <w:sz w:val="21"/>
      <w:szCs w:val="24"/>
      <w:lang w:val="en-US" w:eastAsia="zh-CN" w:bidi="ar-SA"/>
    </w:rPr>
  </w:style>
  <w:style w:type="paragraph" w:customStyle="1" w:styleId="23">
    <w:name w:val="修订1"/>
    <w:hidden/>
    <w:unhideWhenUsed/>
    <w:qFormat/>
    <w:uiPriority w:val="99"/>
    <w:rPr>
      <w:rFonts w:ascii="Calibri" w:hAnsi="Calibri" w:eastAsia="宋体" w:cs="Times New Roman"/>
      <w:kern w:val="2"/>
      <w:sz w:val="21"/>
      <w:szCs w:val="24"/>
      <w:lang w:val="en-US" w:eastAsia="zh-CN" w:bidi="ar-SA"/>
    </w:rPr>
  </w:style>
  <w:style w:type="character" w:customStyle="1" w:styleId="24">
    <w:name w:val="批注文字 字符"/>
    <w:basedOn w:val="17"/>
    <w:link w:val="5"/>
    <w:qFormat/>
    <w:uiPriority w:val="0"/>
    <w:rPr>
      <w:rFonts w:ascii="Calibri" w:hAnsi="Calibri"/>
      <w:kern w:val="2"/>
      <w:sz w:val="21"/>
      <w:szCs w:val="24"/>
    </w:rPr>
  </w:style>
  <w:style w:type="character" w:customStyle="1" w:styleId="25">
    <w:name w:val="批注主题 字符"/>
    <w:basedOn w:val="24"/>
    <w:link w:val="14"/>
    <w:qFormat/>
    <w:uiPriority w:val="0"/>
    <w:rPr>
      <w:rFonts w:ascii="Calibri" w:hAnsi="Calibri"/>
      <w:b/>
      <w:bCs/>
      <w:kern w:val="2"/>
      <w:sz w:val="21"/>
      <w:szCs w:val="24"/>
    </w:rPr>
  </w:style>
  <w:style w:type="paragraph" w:styleId="26">
    <w:name w:val="List Paragraph"/>
    <w:basedOn w:val="1"/>
    <w:unhideWhenUsed/>
    <w:qFormat/>
    <w:uiPriority w:val="99"/>
    <w:pPr>
      <w:ind w:firstLine="420" w:firstLineChars="200"/>
    </w:pPr>
  </w:style>
  <w:style w:type="character" w:customStyle="1" w:styleId="27">
    <w:name w:val="正文缩进 字符"/>
    <w:link w:val="2"/>
    <w:qFormat/>
    <w:uiPriority w:val="0"/>
    <w:rPr>
      <w:rFonts w:ascii="Calibri" w:hAnsi="Calibri"/>
      <w:kern w:val="2"/>
      <w:sz w:val="21"/>
      <w:szCs w:val="24"/>
    </w:rPr>
  </w:style>
  <w:style w:type="paragraph" w:customStyle="1" w:styleId="28">
    <w:name w:val="3 级标题"/>
    <w:basedOn w:val="4"/>
    <w:next w:val="29"/>
    <w:qFormat/>
    <w:uiPriority w:val="0"/>
    <w:pPr>
      <w:numPr>
        <w:numId w:val="2"/>
      </w:numPr>
      <w:spacing w:before="120" w:after="120" w:line="360" w:lineRule="auto"/>
      <w:ind w:left="0" w:right="37" w:rightChars="13"/>
    </w:pPr>
    <w:rPr>
      <w:rFonts w:ascii="黑体" w:hAnsi="黑体" w:eastAsia="黑体"/>
      <w:sz w:val="30"/>
      <w:szCs w:val="30"/>
      <w:lang w:val="zh-CN"/>
    </w:rPr>
  </w:style>
  <w:style w:type="paragraph" w:customStyle="1" w:styleId="29">
    <w:name w:val="00 正文"/>
    <w:basedOn w:val="1"/>
    <w:qFormat/>
    <w:uiPriority w:val="0"/>
    <w:pPr>
      <w:spacing w:before="156" w:beforeLines="50" w:line="360" w:lineRule="auto"/>
    </w:pPr>
    <w:rPr>
      <w:rFonts w:ascii="宋体" w:hAnsi="宋体"/>
      <w:lang w:val="zh-CN"/>
    </w:rPr>
  </w:style>
  <w:style w:type="paragraph" w:customStyle="1" w:styleId="30">
    <w:name w:val="列表段落1"/>
    <w:basedOn w:val="1"/>
    <w:qFormat/>
    <w:uiPriority w:val="0"/>
    <w:pPr>
      <w:ind w:firstLine="420" w:firstLineChars="200"/>
    </w:pPr>
    <w:rPr>
      <w:szCs w:val="21"/>
    </w:rPr>
  </w:style>
  <w:style w:type="character" w:customStyle="1" w:styleId="31">
    <w:name w:val="批注框文本 字符"/>
    <w:basedOn w:val="17"/>
    <w:link w:val="9"/>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10786</Words>
  <Characters>11062</Characters>
  <Lines>100</Lines>
  <Paragraphs>28</Paragraphs>
  <TotalTime>14</TotalTime>
  <ScaleCrop>false</ScaleCrop>
  <LinksUpToDate>false</LinksUpToDate>
  <CharactersWithSpaces>11997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2025-09-17T16:25:00Z</dcterms:created>
  <dc:creator>zhc-zhangjun</dc:creator>
  <cp:lastModifiedBy>龙瑶</cp:lastModifiedBy>
  <cp:lastPrinted>2024-10-15T22:55:00Z</cp:lastPrinted>
  <dcterms:modified xsi:type="dcterms:W3CDTF">2025-09-30T09:56:00Z</dcterms:modified>
  <dc:title>市委金融办关于政务服务质量提升服务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B327A49EC449FE91963DDA68B69EDD5D</vt:lpwstr>
  </property>
  <property fmtid="{D5CDD505-2E9C-101B-9397-08002B2CF9AE}" pid="4" name="KSOTemplateDocerSaveRecord">
    <vt:lpwstr>eyJoZGlkIjoiNmZiMTA0ZGFlNzI0NmI0N2FiNGI1MzFhYTlmMDJhN2QiLCJ1c2VySWQiOiI0Mzg5MzA1ODYifQ==</vt:lpwstr>
  </property>
</Properties>
</file>