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4602B0"/>
    <w:rsid w:val="1AC85DE1"/>
    <w:rsid w:val="1B3C0B6C"/>
    <w:rsid w:val="68F0030D"/>
    <w:rsid w:val="7FFFC063"/>
    <w:rsid w:val="95C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2022-08-30T11:21:00Z</dcterms:created>
  <dc:creator>zjh32</dc:creator>
  <cp:lastModifiedBy>liweijie</cp:lastModifiedBy>
  <dcterms:modified xsi:type="dcterms:W3CDTF">2023-06-30T17:11:34Z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27AF06B7B0DB41B5809C08770775580F</vt:lpwstr>
  </property>
</Properties>
</file>