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sz w:val="28"/>
          <w:szCs w:val="28"/>
        </w:rPr>
      </w:pPr>
      <w:r>
        <w:rPr>
          <w:rFonts w:hint="eastAsia" w:ascii="宋体" w:hAnsi="宋体" w:eastAsia="宋体"/>
          <w:sz w:val="28"/>
          <w:szCs w:val="28"/>
        </w:rPr>
        <w:t>附件3-1：</w:t>
      </w:r>
    </w:p>
    <w:p>
      <w:pPr>
        <w:spacing w:after="240" w:line="360" w:lineRule="auto"/>
        <w:jc w:val="center"/>
        <w:rPr>
          <w:rFonts w:ascii="黑体" w:hAnsi="黑体" w:eastAsia="黑体"/>
          <w:sz w:val="36"/>
          <w:szCs w:val="36"/>
        </w:rPr>
      </w:pPr>
      <w:r>
        <w:rPr>
          <w:rFonts w:hint="eastAsia" w:ascii="黑体" w:hAnsi="黑体" w:eastAsia="黑体"/>
          <w:sz w:val="36"/>
          <w:szCs w:val="36"/>
        </w:rPr>
        <w:t>存续期绿色金融机构经营情况报送材料清单</w:t>
      </w:r>
    </w:p>
    <w:p>
      <w:pPr>
        <w:spacing w:after="240" w:line="360" w:lineRule="auto"/>
        <w:rPr>
          <w:rFonts w:ascii="宋体" w:hAnsi="宋体" w:eastAsia="宋体"/>
          <w:sz w:val="28"/>
          <w:szCs w:val="28"/>
        </w:rPr>
      </w:pPr>
      <w:r>
        <w:rPr>
          <w:rFonts w:hint="eastAsia" w:ascii="宋体" w:hAnsi="宋体" w:eastAsia="宋体"/>
          <w:sz w:val="28"/>
          <w:szCs w:val="28"/>
        </w:rPr>
        <w:t xml:space="preserve">绿色金融机构名称（公章）： </w:t>
      </w:r>
      <w:r>
        <w:rPr>
          <w:rFonts w:ascii="宋体" w:hAnsi="宋体" w:eastAsia="宋体"/>
          <w:sz w:val="28"/>
          <w:szCs w:val="28"/>
        </w:rPr>
        <w:t xml:space="preserve">                                     </w:t>
      </w:r>
      <w:r>
        <w:rPr>
          <w:rFonts w:hint="eastAsia" w:ascii="宋体" w:hAnsi="宋体" w:eastAsia="宋体"/>
          <w:sz w:val="28"/>
          <w:szCs w:val="28"/>
        </w:rPr>
        <w:t>填报人及联系方式：</w:t>
      </w:r>
    </w:p>
    <w:p>
      <w:pPr>
        <w:jc w:val="left"/>
        <w:rPr>
          <w:rFonts w:ascii="宋体" w:hAnsi="宋体" w:eastAsia="宋体"/>
          <w:sz w:val="28"/>
          <w:szCs w:val="28"/>
        </w:rPr>
      </w:pPr>
      <w:r>
        <w:rPr>
          <w:rFonts w:hint="eastAsia" w:ascii="宋体" w:hAnsi="宋体" w:eastAsia="宋体"/>
          <w:sz w:val="28"/>
          <w:szCs w:val="28"/>
        </w:rPr>
        <w:t>评估期间：2</w:t>
      </w:r>
      <w:r>
        <w:rPr>
          <w:rFonts w:ascii="宋体" w:hAnsi="宋体" w:eastAsia="宋体"/>
          <w:sz w:val="28"/>
          <w:szCs w:val="28"/>
        </w:rPr>
        <w:t>022</w:t>
      </w:r>
      <w:r>
        <w:rPr>
          <w:rFonts w:hint="eastAsia" w:ascii="宋体" w:hAnsi="宋体" w:eastAsia="宋体"/>
          <w:sz w:val="28"/>
          <w:szCs w:val="28"/>
        </w:rPr>
        <w:t>年</w:t>
      </w:r>
      <w:r>
        <w:rPr>
          <w:rFonts w:ascii="宋体" w:hAnsi="宋体" w:eastAsia="宋体"/>
          <w:sz w:val="28"/>
          <w:szCs w:val="28"/>
        </w:rPr>
        <w:t>1</w:t>
      </w:r>
      <w:r>
        <w:rPr>
          <w:rFonts w:hint="eastAsia" w:ascii="宋体" w:hAnsi="宋体" w:eastAsia="宋体"/>
          <w:sz w:val="28"/>
          <w:szCs w:val="28"/>
        </w:rPr>
        <w:t>月-</w:t>
      </w:r>
      <w:r>
        <w:rPr>
          <w:rFonts w:ascii="宋体" w:hAnsi="宋体" w:eastAsia="宋体"/>
          <w:sz w:val="28"/>
          <w:szCs w:val="28"/>
        </w:rPr>
        <w:t>12</w:t>
      </w:r>
      <w:r>
        <w:rPr>
          <w:rFonts w:hint="eastAsia" w:ascii="宋体" w:hAnsi="宋体" w:eastAsia="宋体"/>
          <w:sz w:val="28"/>
          <w:szCs w:val="28"/>
        </w:rPr>
        <w:t>月</w:t>
      </w:r>
    </w:p>
    <w:tbl>
      <w:tblPr>
        <w:tblStyle w:val="6"/>
        <w:tblW w:w="13909" w:type="dxa"/>
        <w:tblInd w:w="96" w:type="dxa"/>
        <w:tblLayout w:type="autofit"/>
        <w:tblCellMar>
          <w:top w:w="0" w:type="dxa"/>
          <w:left w:w="108" w:type="dxa"/>
          <w:bottom w:w="0" w:type="dxa"/>
          <w:right w:w="108" w:type="dxa"/>
        </w:tblCellMar>
      </w:tblPr>
      <w:tblGrid>
        <w:gridCol w:w="685"/>
        <w:gridCol w:w="1488"/>
        <w:gridCol w:w="6276"/>
        <w:gridCol w:w="2088"/>
        <w:gridCol w:w="3372"/>
      </w:tblGrid>
      <w:tr>
        <w:tblPrEx>
          <w:tblCellMar>
            <w:top w:w="0" w:type="dxa"/>
            <w:left w:w="108" w:type="dxa"/>
            <w:bottom w:w="0" w:type="dxa"/>
            <w:right w:w="108" w:type="dxa"/>
          </w:tblCellMar>
        </w:tblPrEx>
        <w:trPr>
          <w:trHeight w:val="440" w:hRule="atLeast"/>
        </w:trPr>
        <w:tc>
          <w:tcPr>
            <w:tcW w:w="6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序号</w:t>
            </w:r>
          </w:p>
        </w:tc>
        <w:tc>
          <w:tcPr>
            <w:tcW w:w="7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8"/>
                <w:szCs w:val="28"/>
                <w:lang w:bidi="ar"/>
              </w:rPr>
              <w:t>建设要求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8"/>
                <w:szCs w:val="28"/>
                <w:lang w:bidi="ar"/>
              </w:rPr>
              <w:t>落实情况</w:t>
            </w: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8"/>
                <w:szCs w:val="28"/>
                <w:lang w:bidi="ar"/>
              </w:rPr>
              <w:t>佐证材料（可另附）</w:t>
            </w:r>
          </w:p>
        </w:tc>
      </w:tr>
      <w:tr>
        <w:tblPrEx>
          <w:tblCellMar>
            <w:top w:w="0" w:type="dxa"/>
            <w:left w:w="108" w:type="dxa"/>
            <w:bottom w:w="0" w:type="dxa"/>
            <w:right w:w="108" w:type="dxa"/>
          </w:tblCellMar>
        </w:tblPrEx>
        <w:trPr>
          <w:trHeight w:val="44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40404"/>
                <w:sz w:val="24"/>
              </w:rPr>
            </w:pPr>
            <w:r>
              <w:rPr>
                <w:rFonts w:hint="eastAsia" w:ascii="宋体" w:hAnsi="宋体" w:eastAsia="宋体" w:cs="宋体"/>
                <w:color w:val="040404"/>
                <w:kern w:val="0"/>
                <w:sz w:val="24"/>
                <w:lang w:bidi="ar"/>
              </w:rPr>
              <w:t>建设项目</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40404"/>
                <w:sz w:val="24"/>
              </w:rPr>
            </w:pPr>
            <w:r>
              <w:rPr>
                <w:rFonts w:hint="eastAsia" w:ascii="宋体" w:hAnsi="宋体" w:eastAsia="宋体" w:cs="宋体"/>
                <w:color w:val="040404"/>
                <w:kern w:val="0"/>
                <w:sz w:val="24"/>
                <w:lang w:bidi="ar"/>
              </w:rPr>
              <w:t>具体要求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8"/>
                <w:szCs w:val="28"/>
              </w:rPr>
            </w:pP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8"/>
                <w:szCs w:val="28"/>
              </w:rPr>
            </w:pPr>
          </w:p>
        </w:tc>
      </w:tr>
      <w:tr>
        <w:tblPrEx>
          <w:tblCellMar>
            <w:top w:w="0" w:type="dxa"/>
            <w:left w:w="108" w:type="dxa"/>
            <w:bottom w:w="0" w:type="dxa"/>
            <w:right w:w="108" w:type="dxa"/>
          </w:tblCellMar>
        </w:tblPrEx>
        <w:trPr>
          <w:trHeight w:val="122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40404"/>
                <w:sz w:val="24"/>
              </w:rPr>
            </w:pPr>
            <w:r>
              <w:rPr>
                <w:rFonts w:hint="eastAsia" w:ascii="宋体" w:hAnsi="宋体" w:eastAsia="宋体" w:cs="宋体"/>
                <w:color w:val="040404"/>
                <w:kern w:val="0"/>
                <w:sz w:val="24"/>
                <w:lang w:bidi="ar"/>
              </w:rPr>
              <w:t>制度建设</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40404"/>
                <w:sz w:val="24"/>
              </w:rPr>
            </w:pPr>
            <w:r>
              <w:rPr>
                <w:rFonts w:hint="eastAsia" w:ascii="宋体" w:hAnsi="宋体" w:eastAsia="宋体" w:cs="宋体"/>
                <w:color w:val="040404"/>
                <w:kern w:val="0"/>
                <w:sz w:val="24"/>
                <w:lang w:bidi="ar"/>
              </w:rPr>
              <w:t>绿色金融专营体系建设的银行总（分）行应当自上而下建立标准化的绿色金融业务流程和有效的风险管理机制，设立专门的绿色金融业务中后台支持部门或者岗位</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8"/>
                <w:szCs w:val="28"/>
              </w:rPr>
            </w:pP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8"/>
                <w:szCs w:val="28"/>
              </w:rPr>
            </w:pPr>
          </w:p>
        </w:tc>
      </w:tr>
      <w:tr>
        <w:tblPrEx>
          <w:tblCellMar>
            <w:top w:w="0" w:type="dxa"/>
            <w:left w:w="108" w:type="dxa"/>
            <w:bottom w:w="0" w:type="dxa"/>
            <w:right w:w="108" w:type="dxa"/>
          </w:tblCellMar>
        </w:tblPrEx>
        <w:trPr>
          <w:trHeight w:val="44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40404"/>
                <w:sz w:val="24"/>
              </w:rPr>
            </w:pPr>
            <w:r>
              <w:rPr>
                <w:rFonts w:hint="eastAsia" w:ascii="宋体" w:hAnsi="宋体" w:eastAsia="宋体" w:cs="宋体"/>
                <w:color w:val="040404"/>
                <w:kern w:val="0"/>
                <w:sz w:val="24"/>
                <w:lang w:bidi="ar"/>
              </w:rPr>
              <w:t>经营规划</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40404"/>
                <w:sz w:val="24"/>
              </w:rPr>
            </w:pPr>
            <w:r>
              <w:rPr>
                <w:rFonts w:hint="eastAsia" w:ascii="宋体" w:hAnsi="宋体" w:eastAsia="宋体" w:cs="宋体"/>
                <w:color w:val="040404"/>
                <w:kern w:val="0"/>
                <w:sz w:val="24"/>
                <w:lang w:bidi="ar"/>
              </w:rPr>
              <w:t>绿色金融机构应制定未来3年绿色金融发展规划</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8"/>
                <w:szCs w:val="28"/>
              </w:rPr>
            </w:pP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8"/>
                <w:szCs w:val="28"/>
              </w:rPr>
            </w:pPr>
          </w:p>
        </w:tc>
      </w:tr>
      <w:tr>
        <w:tblPrEx>
          <w:tblCellMar>
            <w:top w:w="0" w:type="dxa"/>
            <w:left w:w="108" w:type="dxa"/>
            <w:bottom w:w="0" w:type="dxa"/>
            <w:right w:w="108" w:type="dxa"/>
          </w:tblCellMar>
        </w:tblPrEx>
        <w:trPr>
          <w:trHeight w:val="62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40404"/>
                <w:sz w:val="24"/>
              </w:rPr>
            </w:pPr>
            <w:r>
              <w:rPr>
                <w:rFonts w:hint="eastAsia" w:ascii="宋体" w:hAnsi="宋体" w:eastAsia="宋体" w:cs="宋体"/>
                <w:color w:val="040404"/>
                <w:kern w:val="0"/>
                <w:sz w:val="24"/>
                <w:lang w:bidi="ar"/>
              </w:rPr>
              <w:t>人才团队</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40404"/>
                <w:sz w:val="24"/>
              </w:rPr>
            </w:pPr>
            <w:r>
              <w:rPr>
                <w:rFonts w:hint="eastAsia" w:ascii="宋体" w:hAnsi="宋体" w:eastAsia="宋体" w:cs="宋体"/>
                <w:color w:val="040404"/>
                <w:kern w:val="0"/>
                <w:sz w:val="24"/>
                <w:lang w:bidi="ar"/>
              </w:rPr>
              <w:t>绿色金融机构应成立专门的绿色金融团队，负责人具有2年以上绿色金融相关业务经验</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8"/>
                <w:szCs w:val="28"/>
              </w:rPr>
            </w:pP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8"/>
                <w:szCs w:val="28"/>
              </w:rPr>
            </w:pPr>
          </w:p>
        </w:tc>
      </w:tr>
      <w:tr>
        <w:tblPrEx>
          <w:tblCellMar>
            <w:top w:w="0" w:type="dxa"/>
            <w:left w:w="108" w:type="dxa"/>
            <w:bottom w:w="0" w:type="dxa"/>
            <w:right w:w="108" w:type="dxa"/>
          </w:tblCellMar>
        </w:tblPrEx>
        <w:trPr>
          <w:trHeight w:val="108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40404"/>
                <w:sz w:val="24"/>
              </w:rPr>
            </w:pP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40404"/>
                <w:sz w:val="24"/>
              </w:rPr>
            </w:pPr>
            <w:r>
              <w:rPr>
                <w:rFonts w:hint="eastAsia" w:ascii="宋体" w:hAnsi="宋体" w:eastAsia="宋体" w:cs="宋体"/>
                <w:color w:val="040404"/>
                <w:kern w:val="0"/>
                <w:sz w:val="24"/>
                <w:lang w:bidi="ar"/>
              </w:rPr>
              <w:t>绿色金融机构应配有不少于2名具备金融、环境等复合型知识的专职绿色金融客户经理，并根据业务发展及时增配人员</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8"/>
                <w:szCs w:val="28"/>
              </w:rPr>
            </w:pP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8"/>
                <w:szCs w:val="28"/>
              </w:rPr>
            </w:pPr>
          </w:p>
        </w:tc>
      </w:tr>
      <w:tr>
        <w:tblPrEx>
          <w:tblCellMar>
            <w:top w:w="0" w:type="dxa"/>
            <w:left w:w="108" w:type="dxa"/>
            <w:bottom w:w="0" w:type="dxa"/>
            <w:right w:w="108" w:type="dxa"/>
          </w:tblCellMar>
        </w:tblPrEx>
        <w:trPr>
          <w:trHeight w:val="44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40404"/>
                <w:sz w:val="24"/>
              </w:rPr>
            </w:pPr>
            <w:r>
              <w:rPr>
                <w:rFonts w:hint="eastAsia" w:ascii="宋体" w:hAnsi="宋体" w:eastAsia="宋体" w:cs="宋体"/>
                <w:color w:val="040404"/>
                <w:kern w:val="0"/>
                <w:sz w:val="24"/>
                <w:lang w:bidi="ar"/>
              </w:rPr>
              <w:t>经营规模</w:t>
            </w:r>
          </w:p>
        </w:tc>
        <w:tc>
          <w:tcPr>
            <w:tcW w:w="6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40404"/>
                <w:sz w:val="24"/>
              </w:rPr>
            </w:pPr>
            <w:r>
              <w:rPr>
                <w:rFonts w:hint="eastAsia" w:ascii="宋体" w:hAnsi="宋体" w:eastAsia="宋体" w:cs="宋体"/>
                <w:color w:val="040404"/>
                <w:kern w:val="0"/>
                <w:sz w:val="24"/>
                <w:lang w:bidi="ar"/>
              </w:rPr>
              <w:t>绿色金融机构的绿色融资余额占该绿色金融机构全部公司业务融资余额的比重不低于25%</w:t>
            </w:r>
          </w:p>
        </w:tc>
        <w:tc>
          <w:tcPr>
            <w:tcW w:w="2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8"/>
                <w:szCs w:val="28"/>
              </w:rPr>
            </w:pPr>
          </w:p>
        </w:tc>
        <w:tc>
          <w:tcPr>
            <w:tcW w:w="33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8"/>
                <w:szCs w:val="28"/>
              </w:rPr>
            </w:pPr>
          </w:p>
        </w:tc>
      </w:tr>
      <w:tr>
        <w:tblPrEx>
          <w:tblCellMar>
            <w:top w:w="0" w:type="dxa"/>
            <w:left w:w="108" w:type="dxa"/>
            <w:bottom w:w="0" w:type="dxa"/>
            <w:right w:w="108" w:type="dxa"/>
          </w:tblCellMar>
        </w:tblPrEx>
        <w:trPr>
          <w:trHeight w:val="44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40404"/>
                <w:sz w:val="24"/>
              </w:rPr>
            </w:pPr>
          </w:p>
        </w:tc>
        <w:tc>
          <w:tcPr>
            <w:tcW w:w="6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40404"/>
                <w:sz w:val="24"/>
              </w:rPr>
            </w:pPr>
          </w:p>
        </w:tc>
        <w:tc>
          <w:tcPr>
            <w:tcW w:w="2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8"/>
                <w:szCs w:val="28"/>
              </w:rPr>
            </w:pPr>
          </w:p>
        </w:tc>
        <w:tc>
          <w:tcPr>
            <w:tcW w:w="33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8"/>
                <w:szCs w:val="28"/>
              </w:rPr>
            </w:pPr>
          </w:p>
        </w:tc>
      </w:tr>
      <w:tr>
        <w:tblPrEx>
          <w:tblCellMar>
            <w:top w:w="0" w:type="dxa"/>
            <w:left w:w="108" w:type="dxa"/>
            <w:bottom w:w="0" w:type="dxa"/>
            <w:right w:w="108" w:type="dxa"/>
          </w:tblCellMar>
        </w:tblPrEx>
        <w:trPr>
          <w:trHeight w:val="62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w:t>
            </w: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40404"/>
                <w:sz w:val="24"/>
              </w:rPr>
            </w:pPr>
          </w:p>
        </w:tc>
        <w:tc>
          <w:tcPr>
            <w:tcW w:w="6276"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宋体" w:hAnsi="宋体" w:eastAsia="宋体" w:cs="宋体"/>
                <w:color w:val="040404"/>
                <w:sz w:val="24"/>
              </w:rPr>
            </w:pPr>
            <w:r>
              <w:rPr>
                <w:rFonts w:hint="eastAsia" w:ascii="宋体" w:hAnsi="宋体" w:eastAsia="宋体" w:cs="宋体"/>
                <w:color w:val="040404"/>
                <w:kern w:val="0"/>
                <w:sz w:val="24"/>
                <w:lang w:bidi="ar"/>
              </w:rPr>
              <w:t>绿色融资余额较年初增速原则上不低于该绿色金融机构各项贷款增速的120%</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8"/>
                <w:szCs w:val="28"/>
              </w:rPr>
            </w:pP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8"/>
                <w:szCs w:val="28"/>
              </w:rPr>
            </w:pPr>
          </w:p>
        </w:tc>
      </w:tr>
      <w:tr>
        <w:tblPrEx>
          <w:tblCellMar>
            <w:top w:w="0" w:type="dxa"/>
            <w:left w:w="108" w:type="dxa"/>
            <w:bottom w:w="0" w:type="dxa"/>
            <w:right w:w="108" w:type="dxa"/>
          </w:tblCellMar>
        </w:tblPrEx>
        <w:trPr>
          <w:trHeight w:val="74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40404"/>
                <w:sz w:val="24"/>
              </w:rPr>
            </w:pPr>
            <w:r>
              <w:rPr>
                <w:rFonts w:hint="eastAsia" w:ascii="宋体" w:hAnsi="宋体" w:eastAsia="宋体" w:cs="宋体"/>
                <w:color w:val="040404"/>
                <w:kern w:val="0"/>
                <w:sz w:val="24"/>
                <w:lang w:bidi="ar"/>
              </w:rPr>
              <w:t>产品创新</w:t>
            </w:r>
          </w:p>
        </w:tc>
        <w:tc>
          <w:tcPr>
            <w:tcW w:w="6276"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40404"/>
                <w:sz w:val="24"/>
              </w:rPr>
            </w:pPr>
            <w:r>
              <w:rPr>
                <w:rFonts w:hint="eastAsia" w:ascii="宋体" w:hAnsi="宋体" w:eastAsia="宋体" w:cs="宋体"/>
                <w:color w:val="040404"/>
                <w:kern w:val="0"/>
                <w:sz w:val="24"/>
                <w:lang w:bidi="ar"/>
              </w:rPr>
              <w:t>在总（分）行的指导下，持续开展创新绿色金融产品，提升绿色金融服务质效</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40404"/>
                <w:sz w:val="24"/>
              </w:rPr>
            </w:pP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40404"/>
                <w:sz w:val="24"/>
              </w:rPr>
            </w:pPr>
          </w:p>
        </w:tc>
      </w:tr>
      <w:tr>
        <w:tblPrEx>
          <w:tblCellMar>
            <w:top w:w="0" w:type="dxa"/>
            <w:left w:w="108" w:type="dxa"/>
            <w:bottom w:w="0" w:type="dxa"/>
            <w:right w:w="108" w:type="dxa"/>
          </w:tblCellMar>
        </w:tblPrEx>
        <w:trPr>
          <w:trHeight w:val="38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40404"/>
                <w:sz w:val="24"/>
              </w:rPr>
            </w:pPr>
          </w:p>
        </w:tc>
        <w:tc>
          <w:tcPr>
            <w:tcW w:w="6276"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40404"/>
                <w:sz w:val="24"/>
              </w:rPr>
            </w:pPr>
            <w:r>
              <w:rPr>
                <w:rFonts w:hint="eastAsia" w:ascii="宋体" w:hAnsi="宋体" w:eastAsia="宋体" w:cs="宋体"/>
                <w:color w:val="040404"/>
                <w:kern w:val="0"/>
                <w:sz w:val="24"/>
                <w:lang w:bidi="ar"/>
              </w:rPr>
              <w:t>总结绿色金融典型案例</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40404"/>
                <w:sz w:val="24"/>
              </w:rPr>
            </w:pP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40404"/>
                <w:sz w:val="24"/>
              </w:rPr>
            </w:pPr>
          </w:p>
        </w:tc>
      </w:tr>
      <w:tr>
        <w:tblPrEx>
          <w:tblCellMar>
            <w:top w:w="0" w:type="dxa"/>
            <w:left w:w="108" w:type="dxa"/>
            <w:bottom w:w="0" w:type="dxa"/>
            <w:right w:w="108" w:type="dxa"/>
          </w:tblCellMar>
        </w:tblPrEx>
        <w:trPr>
          <w:trHeight w:val="36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40404"/>
                <w:sz w:val="24"/>
              </w:rPr>
            </w:pPr>
            <w:r>
              <w:rPr>
                <w:rFonts w:hint="eastAsia" w:ascii="宋体" w:hAnsi="宋体" w:eastAsia="宋体" w:cs="宋体"/>
                <w:color w:val="040404"/>
                <w:kern w:val="0"/>
                <w:sz w:val="24"/>
                <w:lang w:bidi="ar"/>
              </w:rPr>
              <w:t>绿色运营</w:t>
            </w:r>
          </w:p>
        </w:tc>
        <w:tc>
          <w:tcPr>
            <w:tcW w:w="6276"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40404"/>
                <w:sz w:val="24"/>
              </w:rPr>
            </w:pPr>
            <w:r>
              <w:rPr>
                <w:rFonts w:hint="eastAsia" w:ascii="宋体" w:hAnsi="宋体" w:eastAsia="宋体" w:cs="宋体"/>
                <w:color w:val="040404"/>
                <w:kern w:val="0"/>
                <w:sz w:val="24"/>
                <w:lang w:bidi="ar"/>
              </w:rPr>
              <w:t>积极建设节约型机构，推行绿色办公，践行绿色发展理念，实现绿色低碳运行</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40404"/>
                <w:sz w:val="24"/>
              </w:rPr>
            </w:pP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40404"/>
                <w:sz w:val="24"/>
              </w:rPr>
            </w:pPr>
          </w:p>
        </w:tc>
      </w:tr>
      <w:tr>
        <w:tblPrEx>
          <w:tblCellMar>
            <w:top w:w="0" w:type="dxa"/>
            <w:left w:w="108" w:type="dxa"/>
            <w:bottom w:w="0" w:type="dxa"/>
            <w:right w:w="108" w:type="dxa"/>
          </w:tblCellMar>
        </w:tblPrEx>
        <w:trPr>
          <w:trHeight w:val="44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40404"/>
                <w:sz w:val="24"/>
              </w:rPr>
            </w:pPr>
            <w:r>
              <w:rPr>
                <w:rFonts w:hint="eastAsia" w:ascii="宋体" w:hAnsi="宋体" w:eastAsia="宋体" w:cs="宋体"/>
                <w:color w:val="040404"/>
                <w:kern w:val="0"/>
                <w:sz w:val="24"/>
                <w:lang w:bidi="ar"/>
              </w:rPr>
              <w:t>绿色投资评估</w:t>
            </w:r>
          </w:p>
        </w:tc>
        <w:tc>
          <w:tcPr>
            <w:tcW w:w="6276"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40404"/>
                <w:sz w:val="24"/>
              </w:rPr>
            </w:pPr>
            <w:r>
              <w:rPr>
                <w:rFonts w:hint="eastAsia" w:ascii="宋体" w:hAnsi="宋体" w:eastAsia="宋体" w:cs="宋体"/>
                <w:color w:val="040404"/>
                <w:kern w:val="0"/>
                <w:sz w:val="24"/>
                <w:lang w:bidi="ar"/>
              </w:rPr>
              <w:t>建立绿色融资评估制度，充分利用金融科技，加强对融资项目的绿色效益跟踪评价，对相关融资项目进行贷前评估和贷后管理</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40404"/>
                <w:sz w:val="24"/>
              </w:rPr>
            </w:pP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40404"/>
                <w:sz w:val="24"/>
              </w:rPr>
            </w:pPr>
          </w:p>
        </w:tc>
      </w:tr>
      <w:tr>
        <w:tblPrEx>
          <w:tblCellMar>
            <w:top w:w="0" w:type="dxa"/>
            <w:left w:w="108" w:type="dxa"/>
            <w:bottom w:w="0" w:type="dxa"/>
            <w:right w:w="108" w:type="dxa"/>
          </w:tblCellMar>
        </w:tblPrEx>
        <w:trPr>
          <w:trHeight w:val="44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40404"/>
                <w:sz w:val="24"/>
              </w:rPr>
            </w:pPr>
            <w:r>
              <w:rPr>
                <w:rFonts w:hint="eastAsia" w:ascii="宋体" w:hAnsi="宋体" w:eastAsia="宋体" w:cs="宋体"/>
                <w:color w:val="040404"/>
                <w:kern w:val="0"/>
                <w:sz w:val="24"/>
                <w:lang w:bidi="ar"/>
              </w:rPr>
              <w:t>授信管理</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40404"/>
                <w:sz w:val="24"/>
              </w:rPr>
            </w:pPr>
            <w:r>
              <w:rPr>
                <w:rFonts w:hint="eastAsia" w:ascii="宋体" w:hAnsi="宋体" w:eastAsia="宋体" w:cs="宋体"/>
                <w:color w:val="040404"/>
                <w:kern w:val="0"/>
                <w:sz w:val="24"/>
                <w:lang w:bidi="ar"/>
              </w:rPr>
              <w:t>对拟授信客户进行严格的合规审查，针对不同行业客户特点，制定环境和社会方面的合规风险审查清单，确保客户提交的文件和相关手续的合规性、有效性和完整性，符合实质合规要求。根据客户面临的环境和社会风险的性质和严重程度，确定合理的授信权限和审批流程。对环境和社会表现不合规的客户，不予授信。</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40404"/>
                <w:sz w:val="24"/>
              </w:rPr>
            </w:pP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40404"/>
                <w:sz w:val="24"/>
              </w:rPr>
            </w:pPr>
          </w:p>
        </w:tc>
      </w:tr>
      <w:tr>
        <w:tblPrEx>
          <w:tblCellMar>
            <w:top w:w="0" w:type="dxa"/>
            <w:left w:w="108" w:type="dxa"/>
            <w:bottom w:w="0" w:type="dxa"/>
            <w:right w:w="108" w:type="dxa"/>
          </w:tblCellMar>
        </w:tblPrEx>
        <w:trPr>
          <w:trHeight w:val="44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40404"/>
                <w:sz w:val="24"/>
              </w:rPr>
            </w:pPr>
            <w:r>
              <w:rPr>
                <w:rFonts w:hint="eastAsia" w:ascii="宋体" w:hAnsi="宋体" w:eastAsia="宋体" w:cs="宋体"/>
                <w:color w:val="040404"/>
                <w:kern w:val="0"/>
                <w:sz w:val="24"/>
                <w:lang w:bidi="ar"/>
              </w:rPr>
              <w:t>重大环境和社会风险客户管理</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40404"/>
                <w:sz w:val="24"/>
              </w:rPr>
            </w:pPr>
            <w:r>
              <w:rPr>
                <w:rFonts w:hint="eastAsia" w:ascii="宋体" w:hAnsi="宋体" w:eastAsia="宋体" w:cs="宋体"/>
                <w:color w:val="040404"/>
                <w:kern w:val="0"/>
                <w:sz w:val="24"/>
                <w:lang w:bidi="ar"/>
              </w:rPr>
              <w:t>对存在重大环境和社会风险的客户实行名单制管理，要求其采取风险缓释措施，包括制定并落实重大风险应对预案，建立充分、有效的利益相关方沟通机制，寻求第三方分担环境和社会风险等</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40404"/>
                <w:sz w:val="24"/>
              </w:rPr>
            </w:pP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40404"/>
                <w:sz w:val="24"/>
              </w:rPr>
            </w:pPr>
          </w:p>
        </w:tc>
      </w:tr>
      <w:tr>
        <w:tblPrEx>
          <w:tblCellMar>
            <w:top w:w="0" w:type="dxa"/>
            <w:left w:w="108" w:type="dxa"/>
            <w:bottom w:w="0" w:type="dxa"/>
            <w:right w:w="108" w:type="dxa"/>
          </w:tblCellMar>
        </w:tblPrEx>
        <w:trPr>
          <w:trHeight w:val="44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40404"/>
                <w:sz w:val="24"/>
              </w:rPr>
            </w:pPr>
            <w:r>
              <w:rPr>
                <w:rFonts w:hint="eastAsia" w:ascii="宋体" w:hAnsi="宋体" w:eastAsia="宋体" w:cs="宋体"/>
                <w:color w:val="040404"/>
                <w:kern w:val="0"/>
                <w:sz w:val="24"/>
                <w:lang w:bidi="ar"/>
              </w:rPr>
              <w:t>统计监测</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40404"/>
                <w:sz w:val="24"/>
              </w:rPr>
            </w:pPr>
            <w:r>
              <w:rPr>
                <w:rFonts w:hint="eastAsia" w:ascii="宋体" w:hAnsi="宋体" w:eastAsia="宋体" w:cs="宋体"/>
                <w:color w:val="040404"/>
                <w:kern w:val="0"/>
                <w:sz w:val="24"/>
                <w:lang w:bidi="ar"/>
              </w:rPr>
              <w:t>按照国家金融监管部门和地方金融监管部门关于绿色金融统计的相关要求，建立绿色融资统计制度，重点统计、分析绿色融资余额比重、违约率、绿色资产分布和质量，以及绿色融资的环境效益等</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40404"/>
                <w:sz w:val="24"/>
              </w:rPr>
            </w:pP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40404"/>
                <w:sz w:val="24"/>
              </w:rPr>
            </w:pPr>
          </w:p>
        </w:tc>
      </w:tr>
      <w:tr>
        <w:tblPrEx>
          <w:tblCellMar>
            <w:top w:w="0" w:type="dxa"/>
            <w:left w:w="108" w:type="dxa"/>
            <w:bottom w:w="0" w:type="dxa"/>
            <w:right w:w="108" w:type="dxa"/>
          </w:tblCellMar>
        </w:tblPrEx>
        <w:trPr>
          <w:trHeight w:val="44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40404"/>
                <w:sz w:val="24"/>
              </w:rPr>
            </w:pPr>
            <w:r>
              <w:rPr>
                <w:rFonts w:hint="eastAsia" w:ascii="宋体" w:hAnsi="宋体" w:eastAsia="宋体" w:cs="宋体"/>
                <w:color w:val="040404"/>
                <w:kern w:val="0"/>
                <w:sz w:val="24"/>
                <w:lang w:bidi="ar"/>
              </w:rPr>
              <w:t>风险评估</w:t>
            </w:r>
          </w:p>
        </w:tc>
        <w:tc>
          <w:tcPr>
            <w:tcW w:w="6276"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40404"/>
                <w:sz w:val="24"/>
              </w:rPr>
            </w:pPr>
            <w:r>
              <w:rPr>
                <w:rFonts w:hint="eastAsia" w:ascii="宋体" w:hAnsi="宋体" w:eastAsia="宋体" w:cs="宋体"/>
                <w:color w:val="040404"/>
                <w:kern w:val="0"/>
                <w:sz w:val="24"/>
                <w:lang w:bidi="ar"/>
              </w:rPr>
              <w:t>创新使用环境压力测试和情景分析等方法和工具，对自身在气候变化、环境监管和可持续发展等压力情况下面临的信用风险、市场风险和其他金融风险进行量化分析</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40404"/>
                <w:sz w:val="24"/>
              </w:rPr>
            </w:pP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40404"/>
                <w:sz w:val="24"/>
              </w:rPr>
            </w:pPr>
          </w:p>
        </w:tc>
      </w:tr>
      <w:tr>
        <w:tblPrEx>
          <w:tblCellMar>
            <w:top w:w="0" w:type="dxa"/>
            <w:left w:w="108" w:type="dxa"/>
            <w:bottom w:w="0" w:type="dxa"/>
            <w:right w:w="108" w:type="dxa"/>
          </w:tblCellMar>
        </w:tblPrEx>
        <w:trPr>
          <w:trHeight w:val="44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40404"/>
                <w:sz w:val="24"/>
              </w:rPr>
            </w:pPr>
            <w:r>
              <w:rPr>
                <w:rFonts w:hint="eastAsia" w:ascii="宋体" w:hAnsi="宋体" w:eastAsia="宋体" w:cs="宋体"/>
                <w:color w:val="040404"/>
                <w:kern w:val="0"/>
                <w:sz w:val="24"/>
                <w:lang w:bidi="ar"/>
              </w:rPr>
              <w:t>环境信息披露</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40404"/>
                <w:sz w:val="24"/>
              </w:rPr>
            </w:pPr>
            <w:r>
              <w:rPr>
                <w:rFonts w:hint="eastAsia" w:ascii="宋体" w:hAnsi="宋体" w:eastAsia="宋体" w:cs="宋体"/>
                <w:color w:val="040404"/>
                <w:kern w:val="0"/>
                <w:sz w:val="24"/>
                <w:lang w:bidi="ar"/>
              </w:rPr>
              <w:t>参照《深圳绿金条例》“第五章环境信息披露”规定开展环境信息披露，如果选择“是/否已经开始环境信息披露”，如果选择“是”，请列明完成时间。</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40404"/>
                <w:sz w:val="24"/>
              </w:rPr>
            </w:pP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40404"/>
                <w:sz w:val="24"/>
              </w:rPr>
            </w:pPr>
          </w:p>
        </w:tc>
      </w:tr>
      <w:tr>
        <w:tblPrEx>
          <w:tblCellMar>
            <w:top w:w="0" w:type="dxa"/>
            <w:left w:w="108" w:type="dxa"/>
            <w:bottom w:w="0" w:type="dxa"/>
            <w:right w:w="108" w:type="dxa"/>
          </w:tblCellMar>
        </w:tblPrEx>
        <w:trPr>
          <w:trHeight w:val="44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17</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40404"/>
                <w:sz w:val="24"/>
              </w:rPr>
            </w:pPr>
            <w:r>
              <w:rPr>
                <w:rFonts w:hint="eastAsia" w:ascii="宋体" w:hAnsi="宋体" w:eastAsia="宋体" w:cs="宋体"/>
                <w:color w:val="040404"/>
                <w:kern w:val="0"/>
                <w:sz w:val="24"/>
                <w:lang w:bidi="ar"/>
              </w:rPr>
              <w:t>企业对接</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40404"/>
                <w:sz w:val="24"/>
              </w:rPr>
            </w:pPr>
            <w:r>
              <w:rPr>
                <w:rFonts w:hint="eastAsia" w:ascii="宋体" w:hAnsi="宋体" w:eastAsia="宋体" w:cs="宋体"/>
                <w:color w:val="040404"/>
                <w:kern w:val="0"/>
                <w:sz w:val="24"/>
                <w:lang w:bidi="ar"/>
              </w:rPr>
              <w:t>积极参加监管部门组织的银企对接会</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40404"/>
                <w:sz w:val="24"/>
              </w:rPr>
            </w:pP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40404"/>
                <w:sz w:val="24"/>
              </w:rPr>
            </w:pPr>
          </w:p>
        </w:tc>
      </w:tr>
      <w:tr>
        <w:tblPrEx>
          <w:tblCellMar>
            <w:top w:w="0" w:type="dxa"/>
            <w:left w:w="108" w:type="dxa"/>
            <w:bottom w:w="0" w:type="dxa"/>
            <w:right w:w="108" w:type="dxa"/>
          </w:tblCellMar>
        </w:tblPrEx>
        <w:trPr>
          <w:trHeight w:val="44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40404"/>
                <w:sz w:val="24"/>
              </w:rPr>
            </w:pPr>
            <w:r>
              <w:rPr>
                <w:rFonts w:hint="eastAsia" w:ascii="宋体" w:hAnsi="宋体" w:eastAsia="宋体" w:cs="宋体"/>
                <w:color w:val="040404"/>
                <w:kern w:val="0"/>
                <w:sz w:val="24"/>
                <w:lang w:bidi="ar"/>
              </w:rPr>
              <w:t>单列绿色信贷规模</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40404"/>
                <w:sz w:val="24"/>
              </w:rPr>
            </w:pPr>
            <w:r>
              <w:rPr>
                <w:rFonts w:hint="eastAsia" w:ascii="宋体" w:hAnsi="宋体" w:eastAsia="宋体" w:cs="宋体"/>
                <w:color w:val="040404"/>
                <w:kern w:val="0"/>
                <w:sz w:val="24"/>
                <w:lang w:bidi="ar"/>
              </w:rPr>
              <w:t>总（分）行每年应当安排专项绿色信贷规模，优先满足绿色领域企业和项目的融资需求。在调控信贷规模的情况下，优先保障绿色金融机构的业务需求。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40404"/>
                <w:sz w:val="24"/>
              </w:rPr>
            </w:pP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40404"/>
                <w:sz w:val="24"/>
              </w:rPr>
            </w:pPr>
          </w:p>
        </w:tc>
      </w:tr>
      <w:tr>
        <w:tblPrEx>
          <w:tblCellMar>
            <w:top w:w="0" w:type="dxa"/>
            <w:left w:w="108" w:type="dxa"/>
            <w:bottom w:w="0" w:type="dxa"/>
            <w:right w:w="108" w:type="dxa"/>
          </w:tblCellMar>
        </w:tblPrEx>
        <w:trPr>
          <w:trHeight w:val="44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19</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40404"/>
                <w:sz w:val="24"/>
              </w:rPr>
            </w:pPr>
            <w:r>
              <w:rPr>
                <w:rFonts w:hint="eastAsia" w:ascii="宋体" w:hAnsi="宋体" w:eastAsia="宋体" w:cs="宋体"/>
                <w:color w:val="040404"/>
                <w:kern w:val="0"/>
                <w:sz w:val="24"/>
                <w:lang w:bidi="ar"/>
              </w:rPr>
              <w:t>单列绿色信贷审批通道</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40404"/>
                <w:sz w:val="24"/>
              </w:rPr>
            </w:pPr>
            <w:r>
              <w:rPr>
                <w:rFonts w:hint="eastAsia" w:ascii="宋体" w:hAnsi="宋体" w:eastAsia="宋体" w:cs="宋体"/>
                <w:color w:val="040404"/>
                <w:kern w:val="0"/>
                <w:sz w:val="24"/>
                <w:lang w:bidi="ar"/>
              </w:rPr>
              <w:t>总（分）行应当开辟独立的绿色信贷审批通道，设置专门的绿色信贷审批岗位，提高审批效率</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40404"/>
                <w:sz w:val="24"/>
              </w:rPr>
            </w:pP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40404"/>
                <w:sz w:val="24"/>
              </w:rPr>
            </w:pPr>
          </w:p>
        </w:tc>
      </w:tr>
      <w:tr>
        <w:tblPrEx>
          <w:tblCellMar>
            <w:top w:w="0" w:type="dxa"/>
            <w:left w:w="108" w:type="dxa"/>
            <w:bottom w:w="0" w:type="dxa"/>
            <w:right w:w="108" w:type="dxa"/>
          </w:tblCellMar>
        </w:tblPrEx>
        <w:trPr>
          <w:trHeight w:val="44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40404"/>
                <w:sz w:val="24"/>
              </w:rPr>
            </w:pPr>
            <w:r>
              <w:rPr>
                <w:rFonts w:hint="eastAsia" w:ascii="宋体" w:hAnsi="宋体" w:eastAsia="宋体" w:cs="宋体"/>
                <w:color w:val="040404"/>
                <w:kern w:val="0"/>
                <w:sz w:val="24"/>
                <w:lang w:bidi="ar"/>
              </w:rPr>
              <w:t>单列绩效考核</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40404"/>
                <w:sz w:val="24"/>
              </w:rPr>
            </w:pPr>
            <w:r>
              <w:rPr>
                <w:rFonts w:hint="eastAsia" w:ascii="宋体" w:hAnsi="宋体" w:eastAsia="宋体" w:cs="宋体"/>
                <w:color w:val="040404"/>
                <w:kern w:val="0"/>
                <w:sz w:val="24"/>
                <w:lang w:bidi="ar"/>
              </w:rPr>
              <w:t>总（分）行应当建立科学合理的绿色金融绩效考核机制，突出对绿色金融的正向激励</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40404"/>
                <w:sz w:val="24"/>
              </w:rPr>
            </w:pP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40404"/>
                <w:sz w:val="24"/>
              </w:rPr>
            </w:pPr>
          </w:p>
        </w:tc>
      </w:tr>
      <w:tr>
        <w:tblPrEx>
          <w:tblCellMar>
            <w:top w:w="0" w:type="dxa"/>
            <w:left w:w="108" w:type="dxa"/>
            <w:bottom w:w="0" w:type="dxa"/>
            <w:right w:w="108" w:type="dxa"/>
          </w:tblCellMar>
        </w:tblPrEx>
        <w:trPr>
          <w:trHeight w:val="44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40404"/>
                <w:sz w:val="24"/>
              </w:rPr>
            </w:pPr>
            <w:r>
              <w:rPr>
                <w:rFonts w:hint="eastAsia" w:ascii="宋体" w:hAnsi="宋体" w:eastAsia="宋体" w:cs="宋体"/>
                <w:color w:val="040404"/>
                <w:kern w:val="0"/>
                <w:sz w:val="24"/>
                <w:lang w:bidi="ar"/>
              </w:rPr>
              <w:t>单列资金价格和风险权重</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40404"/>
                <w:sz w:val="24"/>
              </w:rPr>
            </w:pPr>
            <w:r>
              <w:rPr>
                <w:rFonts w:hint="eastAsia" w:ascii="宋体" w:hAnsi="宋体" w:eastAsia="宋体" w:cs="宋体"/>
                <w:color w:val="040404"/>
                <w:kern w:val="0"/>
                <w:sz w:val="24"/>
                <w:lang w:bidi="ar"/>
              </w:rPr>
              <w:t>总（分）行探索对绿色金融机构设置差异化的资金价格和风险管理政策，如：对绿色融资项目提供优惠的资金成本价格，包括贷款利率和手续费等；提高对绿色金融机构的绿色信贷风险资产不良容忍度等</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40404"/>
                <w:sz w:val="24"/>
              </w:rPr>
            </w:pP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40404"/>
                <w:sz w:val="24"/>
              </w:rPr>
            </w:pPr>
          </w:p>
        </w:tc>
      </w:tr>
      <w:tr>
        <w:tblPrEx>
          <w:tblCellMar>
            <w:top w:w="0" w:type="dxa"/>
            <w:left w:w="108" w:type="dxa"/>
            <w:bottom w:w="0" w:type="dxa"/>
            <w:right w:w="108" w:type="dxa"/>
          </w:tblCellMar>
        </w:tblPrEx>
        <w:trPr>
          <w:trHeight w:val="44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22</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40404"/>
                <w:kern w:val="0"/>
                <w:sz w:val="24"/>
                <w:lang w:bidi="ar"/>
              </w:rPr>
            </w:pPr>
            <w:r>
              <w:rPr>
                <w:rFonts w:hint="eastAsia" w:ascii="宋体" w:hAnsi="宋体" w:eastAsia="宋体" w:cs="宋体"/>
                <w:color w:val="040404"/>
                <w:kern w:val="0"/>
                <w:sz w:val="24"/>
                <w:lang w:bidi="ar"/>
              </w:rPr>
              <w:t>其他</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40404"/>
                <w:kern w:val="0"/>
                <w:sz w:val="24"/>
                <w:lang w:bidi="ar"/>
              </w:rPr>
            </w:pPr>
            <w:r>
              <w:rPr>
                <w:rFonts w:hint="eastAsia" w:ascii="宋体" w:hAnsi="宋体" w:eastAsia="宋体" w:cs="宋体"/>
                <w:color w:val="040404"/>
                <w:kern w:val="0"/>
                <w:sz w:val="24"/>
                <w:lang w:bidi="ar"/>
              </w:rPr>
              <w:t>可补充在绿色金融领域取得的成就、获得的奖项或奖励</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40404"/>
                <w:sz w:val="24"/>
              </w:rPr>
            </w:pP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40404"/>
                <w:sz w:val="24"/>
              </w:rPr>
            </w:pPr>
          </w:p>
        </w:tc>
      </w:tr>
    </w:tbl>
    <w:p>
      <w:pPr>
        <w:rPr>
          <w:rFonts w:ascii="宋体" w:hAnsi="宋体" w:eastAsia="宋体"/>
          <w:sz w:val="28"/>
          <w:szCs w:val="28"/>
        </w:rPr>
      </w:pPr>
      <w:r>
        <w:rPr>
          <w:rFonts w:hint="eastAsia" w:ascii="宋体" w:hAnsi="宋体" w:eastAsia="宋体"/>
          <w:sz w:val="28"/>
          <w:szCs w:val="28"/>
        </w:rPr>
        <w:br w:type="page"/>
      </w:r>
    </w:p>
    <w:p>
      <w:pPr>
        <w:pStyle w:val="5"/>
        <w:widowControl/>
        <w:shd w:val="clear" w:color="auto" w:fill="FFFFFF"/>
        <w:spacing w:beforeAutospacing="0" w:afterAutospacing="0" w:line="560" w:lineRule="exact"/>
        <w:jc w:val="right"/>
        <w:rPr>
          <w:rFonts w:ascii="仿宋_GB2312" w:hAnsi="仿宋_GB2312" w:eastAsia="仿宋_GB2312" w:cs="仿宋_GB2312"/>
          <w:sz w:val="32"/>
          <w:szCs w:val="32"/>
          <w:shd w:val="clear" w:color="auto" w:fill="FFFFFF"/>
        </w:rPr>
        <w:sectPr>
          <w:headerReference r:id="rId3" w:type="default"/>
          <w:headerReference r:id="rId4" w:type="even"/>
          <w:pgSz w:w="16838" w:h="11906" w:orient="landscape"/>
          <w:pgMar w:top="1797" w:right="1440" w:bottom="1797" w:left="1440" w:header="851" w:footer="992" w:gutter="0"/>
          <w:cols w:space="425" w:num="1"/>
          <w:docGrid w:type="lines" w:linePitch="312" w:charSpace="0"/>
        </w:sectPr>
      </w:pPr>
    </w:p>
    <w:p>
      <w:pPr>
        <w:rPr>
          <w:rFonts w:ascii="宋体" w:hAnsi="宋体" w:eastAsia="宋体"/>
          <w:sz w:val="28"/>
          <w:szCs w:val="28"/>
        </w:rPr>
      </w:pPr>
      <w:r>
        <w:rPr>
          <w:rFonts w:hint="eastAsia" w:ascii="宋体" w:hAnsi="宋体" w:eastAsia="宋体"/>
          <w:sz w:val="28"/>
          <w:szCs w:val="28"/>
        </w:rPr>
        <w:t>附件3-2：</w:t>
      </w:r>
    </w:p>
    <w:p>
      <w:pPr>
        <w:spacing w:line="360" w:lineRule="auto"/>
        <w:jc w:val="left"/>
        <w:rPr>
          <w:rFonts w:ascii="黑体" w:hAnsi="黑体" w:eastAsia="黑体"/>
          <w:sz w:val="32"/>
          <w:szCs w:val="32"/>
        </w:rPr>
      </w:pPr>
    </w:p>
    <w:p>
      <w:pPr>
        <w:spacing w:line="360" w:lineRule="auto"/>
        <w:jc w:val="center"/>
        <w:rPr>
          <w:rFonts w:ascii="黑体" w:hAnsi="黑体" w:eastAsia="黑体"/>
          <w:sz w:val="32"/>
          <w:szCs w:val="32"/>
        </w:rPr>
      </w:pPr>
      <w:r>
        <w:rPr>
          <w:rFonts w:hint="eastAsia" w:ascii="黑体" w:hAnsi="黑体" w:eastAsia="黑体"/>
          <w:sz w:val="32"/>
          <w:szCs w:val="32"/>
        </w:rPr>
        <w:t>绿色金融机构绿色融资数据统计表</w:t>
      </w:r>
    </w:p>
    <w:p>
      <w:pPr>
        <w:spacing w:line="360" w:lineRule="auto"/>
        <w:jc w:val="center"/>
        <w:rPr>
          <w:rFonts w:ascii="黑体" w:hAnsi="黑体" w:eastAsia="黑体"/>
          <w:sz w:val="32"/>
          <w:szCs w:val="32"/>
        </w:rPr>
      </w:pPr>
    </w:p>
    <w:p>
      <w:pPr>
        <w:jc w:val="left"/>
        <w:rPr>
          <w:rFonts w:ascii="宋体" w:hAnsi="宋体" w:eastAsia="宋体"/>
          <w:sz w:val="28"/>
          <w:szCs w:val="28"/>
        </w:rPr>
      </w:pPr>
      <w:r>
        <w:rPr>
          <w:rFonts w:hint="eastAsia" w:ascii="宋体" w:hAnsi="宋体" w:eastAsia="宋体"/>
          <w:sz w:val="28"/>
          <w:szCs w:val="28"/>
        </w:rPr>
        <w:t xml:space="preserve">绿色金融机构名称（公章）： </w:t>
      </w:r>
      <w:r>
        <w:rPr>
          <w:rFonts w:ascii="宋体" w:hAnsi="宋体" w:eastAsia="宋体"/>
          <w:sz w:val="28"/>
          <w:szCs w:val="28"/>
        </w:rPr>
        <w:t xml:space="preserve">                                     </w:t>
      </w:r>
      <w:r>
        <w:rPr>
          <w:rFonts w:hint="eastAsia" w:ascii="宋体" w:hAnsi="宋体" w:eastAsia="宋体"/>
          <w:sz w:val="28"/>
          <w:szCs w:val="28"/>
        </w:rPr>
        <w:t>填报人及联系方式：</w:t>
      </w:r>
    </w:p>
    <w:p>
      <w:pPr>
        <w:jc w:val="left"/>
        <w:rPr>
          <w:rFonts w:ascii="宋体" w:hAnsi="宋体" w:eastAsia="宋体"/>
          <w:sz w:val="28"/>
          <w:szCs w:val="28"/>
        </w:rPr>
      </w:pPr>
    </w:p>
    <w:tbl>
      <w:tblPr>
        <w:tblStyle w:val="7"/>
        <w:tblW w:w="49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8"/>
        <w:gridCol w:w="1726"/>
        <w:gridCol w:w="1844"/>
        <w:gridCol w:w="4533"/>
        <w:gridCol w:w="2616"/>
        <w:gridCol w:w="2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409" w:type="pct"/>
            <w:vAlign w:val="center"/>
          </w:tcPr>
          <w:p>
            <w:pPr>
              <w:widowControl/>
              <w:spacing w:line="276" w:lineRule="auto"/>
              <w:jc w:val="center"/>
              <w:rPr>
                <w:rFonts w:ascii="宋体" w:hAnsi="宋体" w:eastAsia="宋体" w:cs="宋体"/>
                <w:color w:val="040404"/>
                <w:kern w:val="0"/>
                <w:sz w:val="24"/>
                <w:szCs w:val="21"/>
              </w:rPr>
            </w:pPr>
          </w:p>
        </w:tc>
        <w:tc>
          <w:tcPr>
            <w:tcW w:w="615" w:type="pct"/>
            <w:vAlign w:val="center"/>
          </w:tcPr>
          <w:p>
            <w:pPr>
              <w:widowControl/>
              <w:spacing w:line="276" w:lineRule="auto"/>
              <w:jc w:val="center"/>
              <w:rPr>
                <w:rFonts w:ascii="宋体" w:hAnsi="宋体" w:eastAsia="宋体" w:cs="宋体"/>
                <w:b/>
                <w:bCs/>
                <w:color w:val="040404"/>
                <w:kern w:val="0"/>
                <w:sz w:val="24"/>
                <w:szCs w:val="21"/>
              </w:rPr>
            </w:pPr>
            <w:r>
              <w:rPr>
                <w:rFonts w:hint="eastAsia" w:ascii="宋体" w:hAnsi="宋体" w:eastAsia="宋体" w:cs="宋体"/>
                <w:b/>
                <w:bCs/>
                <w:color w:val="040404"/>
                <w:kern w:val="0"/>
                <w:sz w:val="24"/>
                <w:szCs w:val="21"/>
              </w:rPr>
              <w:t>绿色金融融资余额</w:t>
            </w:r>
          </w:p>
        </w:tc>
        <w:tc>
          <w:tcPr>
            <w:tcW w:w="657" w:type="pct"/>
            <w:vAlign w:val="center"/>
          </w:tcPr>
          <w:p>
            <w:pPr>
              <w:widowControl/>
              <w:spacing w:line="276" w:lineRule="auto"/>
              <w:jc w:val="center"/>
              <w:rPr>
                <w:rFonts w:ascii="宋体" w:hAnsi="宋体" w:eastAsia="宋体" w:cs="宋体"/>
                <w:b/>
                <w:bCs/>
                <w:color w:val="040404"/>
                <w:kern w:val="0"/>
                <w:sz w:val="24"/>
                <w:szCs w:val="21"/>
              </w:rPr>
            </w:pPr>
            <w:r>
              <w:rPr>
                <w:rFonts w:ascii="宋体" w:hAnsi="宋体" w:eastAsia="宋体" w:cs="宋体"/>
                <w:b/>
                <w:bCs/>
                <w:color w:val="040404"/>
                <w:kern w:val="0"/>
                <w:sz w:val="24"/>
                <w:szCs w:val="21"/>
              </w:rPr>
              <w:t>全部公司业务融资余额</w:t>
            </w:r>
          </w:p>
        </w:tc>
        <w:tc>
          <w:tcPr>
            <w:tcW w:w="1615" w:type="pct"/>
            <w:vAlign w:val="center"/>
          </w:tcPr>
          <w:p>
            <w:pPr>
              <w:widowControl/>
              <w:spacing w:line="276" w:lineRule="auto"/>
              <w:jc w:val="center"/>
              <w:rPr>
                <w:rFonts w:ascii="宋体" w:hAnsi="宋体" w:eastAsia="宋体" w:cs="宋体"/>
                <w:b/>
                <w:bCs/>
                <w:color w:val="040404"/>
                <w:kern w:val="0"/>
                <w:sz w:val="24"/>
                <w:szCs w:val="21"/>
              </w:rPr>
            </w:pPr>
            <w:r>
              <w:rPr>
                <w:rFonts w:ascii="宋体" w:hAnsi="宋体" w:eastAsia="宋体" w:cs="宋体"/>
                <w:b/>
                <w:bCs/>
                <w:color w:val="040404"/>
                <w:kern w:val="0"/>
                <w:sz w:val="24"/>
                <w:szCs w:val="21"/>
              </w:rPr>
              <w:t>公司业务融资余额</w:t>
            </w:r>
            <w:r>
              <w:rPr>
                <w:rFonts w:hint="eastAsia" w:ascii="宋体" w:hAnsi="宋体" w:eastAsia="宋体" w:cs="宋体"/>
                <w:b/>
                <w:bCs/>
                <w:color w:val="040404"/>
                <w:kern w:val="0"/>
                <w:sz w:val="24"/>
                <w:szCs w:val="21"/>
              </w:rPr>
              <w:t>中</w:t>
            </w:r>
            <w:r>
              <w:rPr>
                <w:rFonts w:ascii="宋体" w:hAnsi="宋体" w:eastAsia="宋体" w:cs="宋体"/>
                <w:b/>
                <w:bCs/>
                <w:color w:val="040404"/>
                <w:kern w:val="0"/>
                <w:sz w:val="24"/>
                <w:szCs w:val="21"/>
              </w:rPr>
              <w:t>绿色融资余额占</w:t>
            </w:r>
            <w:r>
              <w:rPr>
                <w:rFonts w:hint="eastAsia" w:ascii="宋体" w:hAnsi="宋体" w:eastAsia="宋体" w:cs="宋体"/>
                <w:b/>
                <w:bCs/>
                <w:color w:val="040404"/>
                <w:kern w:val="0"/>
                <w:sz w:val="24"/>
                <w:szCs w:val="21"/>
              </w:rPr>
              <w:t>比</w:t>
            </w:r>
          </w:p>
        </w:tc>
        <w:tc>
          <w:tcPr>
            <w:tcW w:w="0" w:type="auto"/>
            <w:vAlign w:val="center"/>
          </w:tcPr>
          <w:p>
            <w:pPr>
              <w:widowControl/>
              <w:spacing w:line="276" w:lineRule="auto"/>
              <w:jc w:val="center"/>
              <w:rPr>
                <w:rFonts w:ascii="宋体" w:hAnsi="宋体" w:eastAsia="宋体" w:cs="宋体"/>
                <w:b/>
                <w:bCs/>
                <w:color w:val="040404"/>
                <w:kern w:val="0"/>
                <w:sz w:val="24"/>
                <w:szCs w:val="21"/>
              </w:rPr>
            </w:pPr>
            <w:r>
              <w:rPr>
                <w:rFonts w:ascii="宋体" w:hAnsi="宋体" w:eastAsia="宋体" w:cs="宋体"/>
                <w:b/>
                <w:bCs/>
                <w:color w:val="040404"/>
                <w:kern w:val="0"/>
                <w:sz w:val="24"/>
                <w:szCs w:val="21"/>
              </w:rPr>
              <w:t>绿色融资余额增速</w:t>
            </w:r>
            <w:r>
              <w:rPr>
                <w:rFonts w:hint="eastAsia" w:ascii="宋体" w:hAnsi="宋体" w:eastAsia="宋体" w:cs="宋体"/>
                <w:b/>
                <w:bCs/>
                <w:color w:val="040404"/>
                <w:kern w:val="0"/>
                <w:sz w:val="24"/>
                <w:szCs w:val="21"/>
              </w:rPr>
              <w:t>（%）</w:t>
            </w:r>
          </w:p>
        </w:tc>
        <w:tc>
          <w:tcPr>
            <w:tcW w:w="0" w:type="auto"/>
            <w:vAlign w:val="center"/>
          </w:tcPr>
          <w:p>
            <w:pPr>
              <w:widowControl/>
              <w:spacing w:line="276" w:lineRule="auto"/>
              <w:jc w:val="center"/>
              <w:rPr>
                <w:rFonts w:ascii="宋体" w:hAnsi="宋体" w:eastAsia="宋体" w:cs="宋体"/>
                <w:b/>
                <w:bCs/>
                <w:color w:val="040404"/>
                <w:kern w:val="0"/>
                <w:sz w:val="24"/>
                <w:szCs w:val="21"/>
              </w:rPr>
            </w:pPr>
            <w:r>
              <w:rPr>
                <w:rFonts w:ascii="宋体" w:hAnsi="宋体" w:eastAsia="宋体" w:cs="宋体"/>
                <w:b/>
                <w:bCs/>
                <w:color w:val="040404"/>
                <w:kern w:val="0"/>
                <w:sz w:val="24"/>
                <w:szCs w:val="21"/>
              </w:rPr>
              <w:t>各项贷款增速</w:t>
            </w:r>
            <w:r>
              <w:rPr>
                <w:rFonts w:hint="eastAsia" w:ascii="宋体" w:hAnsi="宋体" w:eastAsia="宋体" w:cs="宋体"/>
                <w:b/>
                <w:bCs/>
                <w:color w:val="040404"/>
                <w:kern w:val="0"/>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409" w:type="pct"/>
            <w:vAlign w:val="center"/>
          </w:tcPr>
          <w:p>
            <w:pPr>
              <w:widowControl/>
              <w:spacing w:line="276" w:lineRule="auto"/>
              <w:jc w:val="left"/>
              <w:rPr>
                <w:rFonts w:ascii="宋体" w:hAnsi="宋体" w:eastAsia="宋体" w:cs="宋体"/>
                <w:color w:val="040404"/>
                <w:kern w:val="0"/>
                <w:sz w:val="24"/>
                <w:szCs w:val="21"/>
              </w:rPr>
            </w:pPr>
            <w:r>
              <w:rPr>
                <w:rFonts w:hint="eastAsia" w:ascii="宋体" w:hAnsi="宋体" w:eastAsia="宋体" w:cs="宋体"/>
                <w:color w:val="040404"/>
                <w:kern w:val="0"/>
                <w:sz w:val="24"/>
                <w:szCs w:val="21"/>
              </w:rPr>
              <w:t>2</w:t>
            </w:r>
            <w:r>
              <w:rPr>
                <w:rFonts w:ascii="宋体" w:hAnsi="宋体" w:eastAsia="宋体" w:cs="宋体"/>
                <w:color w:val="040404"/>
                <w:kern w:val="0"/>
                <w:sz w:val="24"/>
                <w:szCs w:val="21"/>
              </w:rPr>
              <w:t>021</w:t>
            </w:r>
            <w:r>
              <w:rPr>
                <w:rFonts w:hint="eastAsia" w:ascii="宋体" w:hAnsi="宋体" w:eastAsia="宋体" w:cs="宋体"/>
                <w:color w:val="040404"/>
                <w:kern w:val="0"/>
                <w:sz w:val="24"/>
                <w:szCs w:val="21"/>
              </w:rPr>
              <w:t>年</w:t>
            </w:r>
          </w:p>
        </w:tc>
        <w:tc>
          <w:tcPr>
            <w:tcW w:w="615" w:type="pct"/>
            <w:vAlign w:val="center"/>
          </w:tcPr>
          <w:p>
            <w:pPr>
              <w:widowControl/>
              <w:spacing w:line="276" w:lineRule="auto"/>
              <w:jc w:val="left"/>
              <w:rPr>
                <w:rFonts w:ascii="宋体" w:hAnsi="宋体" w:eastAsia="宋体" w:cs="宋体"/>
                <w:color w:val="040404"/>
                <w:kern w:val="0"/>
                <w:sz w:val="24"/>
                <w:szCs w:val="21"/>
              </w:rPr>
            </w:pPr>
          </w:p>
        </w:tc>
        <w:tc>
          <w:tcPr>
            <w:tcW w:w="657" w:type="pct"/>
            <w:vAlign w:val="center"/>
          </w:tcPr>
          <w:p>
            <w:pPr>
              <w:widowControl/>
              <w:spacing w:line="276" w:lineRule="auto"/>
              <w:jc w:val="left"/>
              <w:rPr>
                <w:rFonts w:ascii="宋体" w:hAnsi="宋体" w:eastAsia="宋体" w:cs="宋体"/>
                <w:color w:val="040404"/>
                <w:kern w:val="0"/>
                <w:sz w:val="24"/>
                <w:szCs w:val="21"/>
              </w:rPr>
            </w:pPr>
          </w:p>
        </w:tc>
        <w:tc>
          <w:tcPr>
            <w:tcW w:w="1615" w:type="pct"/>
            <w:vAlign w:val="center"/>
          </w:tcPr>
          <w:p>
            <w:pPr>
              <w:widowControl/>
              <w:spacing w:line="276" w:lineRule="auto"/>
              <w:jc w:val="left"/>
              <w:rPr>
                <w:rFonts w:ascii="宋体" w:hAnsi="宋体" w:eastAsia="宋体" w:cs="宋体"/>
                <w:color w:val="040404"/>
                <w:kern w:val="0"/>
                <w:sz w:val="24"/>
                <w:szCs w:val="21"/>
              </w:rPr>
            </w:pPr>
          </w:p>
        </w:tc>
        <w:tc>
          <w:tcPr>
            <w:tcW w:w="0" w:type="auto"/>
            <w:vAlign w:val="center"/>
          </w:tcPr>
          <w:p>
            <w:pPr>
              <w:widowControl/>
              <w:spacing w:line="276" w:lineRule="auto"/>
              <w:jc w:val="left"/>
              <w:rPr>
                <w:rFonts w:ascii="宋体" w:hAnsi="宋体" w:eastAsia="宋体" w:cs="宋体"/>
                <w:color w:val="040404"/>
                <w:kern w:val="0"/>
                <w:sz w:val="24"/>
                <w:szCs w:val="21"/>
              </w:rPr>
            </w:pPr>
            <w:r>
              <w:rPr>
                <w:rFonts w:hint="eastAsia" w:ascii="宋体" w:hAnsi="宋体" w:eastAsia="宋体" w:cs="宋体"/>
                <w:color w:val="040404"/>
                <w:kern w:val="0"/>
                <w:sz w:val="24"/>
                <w:szCs w:val="21"/>
              </w:rPr>
              <w:t>\</w:t>
            </w:r>
          </w:p>
        </w:tc>
        <w:tc>
          <w:tcPr>
            <w:tcW w:w="0" w:type="auto"/>
            <w:vAlign w:val="center"/>
          </w:tcPr>
          <w:p>
            <w:pPr>
              <w:widowControl/>
              <w:spacing w:line="276" w:lineRule="auto"/>
              <w:jc w:val="left"/>
              <w:rPr>
                <w:rFonts w:ascii="宋体" w:hAnsi="宋体" w:eastAsia="宋体" w:cs="宋体"/>
                <w:color w:val="040404"/>
                <w:kern w:val="0"/>
                <w:sz w:val="24"/>
                <w:szCs w:val="21"/>
              </w:rPr>
            </w:pPr>
            <w:r>
              <w:rPr>
                <w:rFonts w:hint="eastAsia" w:ascii="宋体" w:hAnsi="宋体" w:eastAsia="宋体" w:cs="宋体"/>
                <w:color w:val="040404"/>
                <w:kern w:val="0"/>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09" w:type="pct"/>
            <w:vAlign w:val="center"/>
          </w:tcPr>
          <w:p>
            <w:pPr>
              <w:widowControl/>
              <w:spacing w:line="276" w:lineRule="auto"/>
              <w:jc w:val="left"/>
              <w:rPr>
                <w:rFonts w:ascii="宋体" w:hAnsi="宋体" w:eastAsia="宋体" w:cs="宋体"/>
                <w:color w:val="040404"/>
                <w:kern w:val="0"/>
                <w:sz w:val="24"/>
                <w:szCs w:val="21"/>
              </w:rPr>
            </w:pPr>
            <w:r>
              <w:rPr>
                <w:rFonts w:hint="eastAsia" w:ascii="宋体" w:hAnsi="宋体" w:eastAsia="宋体" w:cs="宋体"/>
                <w:color w:val="040404"/>
                <w:kern w:val="0"/>
                <w:sz w:val="24"/>
                <w:szCs w:val="21"/>
              </w:rPr>
              <w:t>2</w:t>
            </w:r>
            <w:r>
              <w:rPr>
                <w:rFonts w:ascii="宋体" w:hAnsi="宋体" w:eastAsia="宋体" w:cs="宋体"/>
                <w:color w:val="040404"/>
                <w:kern w:val="0"/>
                <w:sz w:val="24"/>
                <w:szCs w:val="21"/>
              </w:rPr>
              <w:t>022</w:t>
            </w:r>
            <w:r>
              <w:rPr>
                <w:rFonts w:hint="eastAsia" w:ascii="宋体" w:hAnsi="宋体" w:eastAsia="宋体" w:cs="宋体"/>
                <w:color w:val="040404"/>
                <w:kern w:val="0"/>
                <w:sz w:val="24"/>
                <w:szCs w:val="21"/>
              </w:rPr>
              <w:t>年</w:t>
            </w:r>
          </w:p>
        </w:tc>
        <w:tc>
          <w:tcPr>
            <w:tcW w:w="615" w:type="pct"/>
            <w:vAlign w:val="center"/>
          </w:tcPr>
          <w:p>
            <w:pPr>
              <w:widowControl/>
              <w:spacing w:line="276" w:lineRule="auto"/>
              <w:jc w:val="left"/>
              <w:rPr>
                <w:rFonts w:ascii="宋体" w:hAnsi="宋体" w:eastAsia="宋体" w:cs="宋体"/>
                <w:color w:val="040404"/>
                <w:kern w:val="0"/>
                <w:sz w:val="24"/>
                <w:szCs w:val="21"/>
              </w:rPr>
            </w:pPr>
          </w:p>
        </w:tc>
        <w:tc>
          <w:tcPr>
            <w:tcW w:w="657" w:type="pct"/>
            <w:vAlign w:val="center"/>
          </w:tcPr>
          <w:p>
            <w:pPr>
              <w:widowControl/>
              <w:spacing w:line="276" w:lineRule="auto"/>
              <w:jc w:val="left"/>
              <w:rPr>
                <w:rFonts w:ascii="宋体" w:hAnsi="宋体" w:eastAsia="宋体" w:cs="宋体"/>
                <w:color w:val="040404"/>
                <w:kern w:val="0"/>
                <w:sz w:val="24"/>
                <w:szCs w:val="21"/>
              </w:rPr>
            </w:pPr>
          </w:p>
        </w:tc>
        <w:tc>
          <w:tcPr>
            <w:tcW w:w="1615" w:type="pct"/>
            <w:vAlign w:val="center"/>
          </w:tcPr>
          <w:p>
            <w:pPr>
              <w:widowControl/>
              <w:spacing w:line="276" w:lineRule="auto"/>
              <w:jc w:val="left"/>
              <w:rPr>
                <w:rFonts w:ascii="宋体" w:hAnsi="宋体" w:eastAsia="宋体" w:cs="宋体"/>
                <w:color w:val="040404"/>
                <w:kern w:val="0"/>
                <w:sz w:val="24"/>
                <w:szCs w:val="21"/>
              </w:rPr>
            </w:pPr>
          </w:p>
        </w:tc>
        <w:tc>
          <w:tcPr>
            <w:tcW w:w="0" w:type="auto"/>
            <w:vAlign w:val="center"/>
          </w:tcPr>
          <w:p>
            <w:pPr>
              <w:widowControl/>
              <w:spacing w:line="276" w:lineRule="auto"/>
              <w:jc w:val="left"/>
              <w:rPr>
                <w:rFonts w:ascii="宋体" w:hAnsi="宋体" w:eastAsia="宋体" w:cs="宋体"/>
                <w:color w:val="040404"/>
                <w:kern w:val="0"/>
                <w:sz w:val="24"/>
                <w:szCs w:val="21"/>
              </w:rPr>
            </w:pPr>
          </w:p>
        </w:tc>
        <w:tc>
          <w:tcPr>
            <w:tcW w:w="0" w:type="auto"/>
            <w:vAlign w:val="center"/>
          </w:tcPr>
          <w:p>
            <w:pPr>
              <w:widowControl/>
              <w:spacing w:line="276" w:lineRule="auto"/>
              <w:jc w:val="left"/>
              <w:rPr>
                <w:rFonts w:ascii="宋体" w:hAnsi="宋体" w:eastAsia="宋体" w:cs="宋体"/>
                <w:color w:val="040404"/>
                <w:kern w:val="0"/>
                <w:sz w:val="24"/>
                <w:szCs w:val="21"/>
              </w:rPr>
            </w:pPr>
          </w:p>
        </w:tc>
      </w:tr>
    </w:tbl>
    <w:p>
      <w:pPr>
        <w:rPr>
          <w:rFonts w:ascii="宋体" w:hAnsi="宋体" w:eastAsia="宋体"/>
          <w:sz w:val="28"/>
          <w:szCs w:val="28"/>
        </w:rPr>
      </w:pPr>
    </w:p>
    <w:p>
      <w:pPr>
        <w:rPr>
          <w:rFonts w:ascii="宋体" w:hAnsi="宋体" w:eastAsia="宋体"/>
          <w:sz w:val="28"/>
          <w:szCs w:val="28"/>
        </w:rPr>
      </w:pPr>
      <w:r>
        <w:rPr>
          <w:rFonts w:hint="eastAsia" w:ascii="宋体" w:hAnsi="宋体" w:eastAsia="宋体"/>
          <w:sz w:val="28"/>
          <w:szCs w:val="28"/>
        </w:rPr>
        <w:t>注：1</w:t>
      </w:r>
      <w:r>
        <w:rPr>
          <w:rFonts w:ascii="宋体" w:hAnsi="宋体" w:eastAsia="宋体"/>
          <w:sz w:val="28"/>
          <w:szCs w:val="28"/>
        </w:rPr>
        <w:t>.</w:t>
      </w:r>
      <w:r>
        <w:rPr>
          <w:rFonts w:hint="eastAsia" w:ascii="宋体" w:hAnsi="宋体" w:eastAsia="宋体"/>
          <w:sz w:val="28"/>
          <w:szCs w:val="28"/>
        </w:rPr>
        <w:t>以银保监局新口径统计</w:t>
      </w:r>
    </w:p>
    <w:p>
      <w:pPr>
        <w:rPr>
          <w:rFonts w:ascii="仿宋_GB2312" w:hAnsi="仿宋_GB2312" w:eastAsia="仿宋_GB2312" w:cs="仿宋_GB2312"/>
          <w:sz w:val="32"/>
          <w:szCs w:val="32"/>
          <w:shd w:val="clear" w:color="auto" w:fill="FFFFFF"/>
        </w:rPr>
      </w:pPr>
      <w:r>
        <w:rPr>
          <w:rFonts w:hint="eastAsia" w:ascii="宋体" w:hAnsi="宋体" w:eastAsia="宋体"/>
          <w:sz w:val="28"/>
          <w:szCs w:val="28"/>
        </w:rPr>
        <w:t xml:space="preserve"> </w:t>
      </w:r>
      <w:r>
        <w:rPr>
          <w:rFonts w:ascii="宋体" w:hAnsi="宋体" w:eastAsia="宋体"/>
          <w:sz w:val="28"/>
          <w:szCs w:val="28"/>
        </w:rPr>
        <w:t xml:space="preserve">   2.</w:t>
      </w:r>
      <w:r>
        <w:rPr>
          <w:rFonts w:hint="eastAsia" w:ascii="宋体" w:hAnsi="宋体" w:eastAsia="宋体"/>
          <w:sz w:val="28"/>
          <w:szCs w:val="28"/>
        </w:rPr>
        <w:t>增速指年末较年初余额的增长幅度（%）</w:t>
      </w:r>
    </w:p>
    <w:p>
      <w:pPr>
        <w:ind w:left="0" w:leftChars="0" w:firstLine="0" w:firstLineChars="0"/>
      </w:pPr>
      <w:bookmarkStart w:id="0" w:name="_GoBack"/>
      <w:bookmarkEnd w:id="0"/>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jMjMxMDgyMzRlYjA0ZDVlZmYwZjc1ZjcyZWRkNzQifQ=="/>
  </w:docVars>
  <w:rsids>
    <w:rsidRoot w:val="0140221C"/>
    <w:rsid w:val="0140221C"/>
    <w:rsid w:val="08D6306D"/>
    <w:rsid w:val="258854F0"/>
    <w:rsid w:val="25965CAE"/>
    <w:rsid w:val="34AD14E3"/>
    <w:rsid w:val="35273461"/>
    <w:rsid w:val="39A36008"/>
    <w:rsid w:val="525C31C6"/>
    <w:rsid w:val="5909691C"/>
    <w:rsid w:val="6C880C82"/>
    <w:rsid w:val="6F272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578" w:lineRule="exact"/>
      <w:outlineLvl w:val="0"/>
    </w:pPr>
    <w:rPr>
      <w:rFonts w:eastAsia="黑体"/>
      <w:b/>
      <w:kern w:val="44"/>
    </w:rPr>
  </w:style>
  <w:style w:type="paragraph" w:styleId="2">
    <w:name w:val="heading 2"/>
    <w:basedOn w:val="1"/>
    <w:next w:val="1"/>
    <w:semiHidden/>
    <w:unhideWhenUsed/>
    <w:qFormat/>
    <w:uiPriority w:val="0"/>
    <w:pPr>
      <w:keepNext/>
      <w:keepLines/>
      <w:spacing w:beforeLines="0" w:beforeAutospacing="0" w:afterLines="0" w:afterAutospacing="0" w:line="578" w:lineRule="exact"/>
      <w:outlineLvl w:val="1"/>
    </w:pPr>
    <w:rPr>
      <w:rFonts w:ascii="Arial" w:hAnsi="Arial" w:eastAsia="楷体_GB2312"/>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2023-04-07T06:16:00Z</dcterms:created>
  <dc:creator>SunX</dc:creator>
  <cp:lastModifiedBy>SunX</cp:lastModifiedBy>
  <dcterms:modified xsi:type="dcterms:W3CDTF">2023-04-07T06:17:46Z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8D43074E2DF544F99A936400FA5632A7_11</vt:lpwstr>
  </property>
</Properties>
</file>