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bookmarkStart w:id="0" w:name="_Hlk97309510"/>
      <w:r>
        <w:rPr>
          <w:rFonts w:hint="eastAsia" w:ascii="宋体" w:hAnsi="宋体" w:eastAsia="宋体"/>
          <w:sz w:val="28"/>
          <w:szCs w:val="28"/>
        </w:rPr>
        <w:t>附件2-1</w:t>
      </w:r>
    </w:p>
    <w:p>
      <w:pPr>
        <w:spacing w:after="240" w:line="360" w:lineRule="auto"/>
        <w:jc w:val="center"/>
        <w:rPr>
          <w:rFonts w:ascii="黑体" w:hAnsi="黑体" w:eastAsia="黑体"/>
          <w:sz w:val="36"/>
          <w:szCs w:val="36"/>
        </w:rPr>
      </w:pPr>
      <w:r>
        <w:rPr>
          <w:rFonts w:hint="eastAsia" w:ascii="黑体" w:hAnsi="黑体" w:eastAsia="黑体"/>
          <w:sz w:val="36"/>
          <w:szCs w:val="36"/>
        </w:rPr>
        <w:t>绿色金融机构申报材料清单</w:t>
      </w:r>
    </w:p>
    <w:p>
      <w:pPr>
        <w:spacing w:after="240" w:line="360" w:lineRule="auto"/>
        <w:rPr>
          <w:rFonts w:ascii="宋体" w:hAnsi="宋体" w:eastAsia="宋体"/>
          <w:sz w:val="28"/>
          <w:szCs w:val="28"/>
        </w:rPr>
      </w:pPr>
      <w:r>
        <w:rPr>
          <w:rFonts w:hint="eastAsia" w:ascii="宋体" w:hAnsi="宋体" w:eastAsia="宋体"/>
          <w:sz w:val="28"/>
          <w:szCs w:val="28"/>
        </w:rPr>
        <w:t xml:space="preserve">申报机构名称（公章）：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ascii="宋体" w:hAnsi="宋体" w:eastAsia="宋体"/>
          <w:sz w:val="28"/>
          <w:szCs w:val="28"/>
        </w:rPr>
      </w:pPr>
      <w:r>
        <w:rPr>
          <w:rFonts w:hint="eastAsia" w:ascii="宋体" w:hAnsi="宋体" w:eastAsia="宋体"/>
          <w:sz w:val="28"/>
          <w:szCs w:val="28"/>
        </w:rPr>
        <w:t>申报时间：  年  月  日</w:t>
      </w:r>
    </w:p>
    <w:tbl>
      <w:tblPr>
        <w:tblStyle w:val="10"/>
        <w:tblW w:w="13909" w:type="dxa"/>
        <w:tblInd w:w="96" w:type="dxa"/>
        <w:tblLayout w:type="autofit"/>
        <w:tblCellMar>
          <w:top w:w="0" w:type="dxa"/>
          <w:left w:w="108" w:type="dxa"/>
          <w:bottom w:w="0" w:type="dxa"/>
          <w:right w:w="108" w:type="dxa"/>
        </w:tblCellMar>
      </w:tblPr>
      <w:tblGrid>
        <w:gridCol w:w="685"/>
        <w:gridCol w:w="1488"/>
        <w:gridCol w:w="6276"/>
        <w:gridCol w:w="2088"/>
        <w:gridCol w:w="3372"/>
      </w:tblGrid>
      <w:tr>
        <w:tblPrEx>
          <w:tblCellMar>
            <w:top w:w="0" w:type="dxa"/>
            <w:left w:w="108" w:type="dxa"/>
            <w:bottom w:w="0" w:type="dxa"/>
            <w:right w:w="108" w:type="dxa"/>
          </w:tblCellMar>
        </w:tblPrEx>
        <w:trPr>
          <w:trHeight w:val="44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7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sz w:val="28"/>
                <w:szCs w:val="28"/>
              </w:rPr>
              <w:t>建设要求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现状或计划</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佐证材料（可另附）</w:t>
            </w:r>
          </w:p>
        </w:tc>
      </w:tr>
      <w:tr>
        <w:tblPrEx>
          <w:tblCellMar>
            <w:top w:w="0" w:type="dxa"/>
            <w:left w:w="108" w:type="dxa"/>
            <w:bottom w:w="0" w:type="dxa"/>
            <w:right w:w="108" w:type="dxa"/>
          </w:tblCellMar>
        </w:tblPrEx>
        <w:trPr>
          <w:trHeight w:val="4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40404"/>
                <w:sz w:val="24"/>
              </w:rPr>
            </w:pPr>
            <w:r>
              <w:rPr>
                <w:rFonts w:hint="eastAsia" w:ascii="宋体" w:hAnsi="宋体" w:eastAsia="宋体" w:cs="宋体"/>
                <w:color w:val="040404"/>
                <w:kern w:val="0"/>
                <w:sz w:val="24"/>
                <w:lang w:bidi="ar"/>
              </w:rPr>
              <w:t>建设项目</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40404"/>
                <w:sz w:val="24"/>
              </w:rPr>
            </w:pPr>
            <w:r>
              <w:rPr>
                <w:rFonts w:hint="eastAsia" w:ascii="宋体" w:hAnsi="宋体" w:eastAsia="宋体" w:cs="宋体"/>
                <w:color w:val="040404"/>
                <w:kern w:val="0"/>
                <w:sz w:val="24"/>
                <w:lang w:bidi="ar"/>
              </w:rPr>
              <w:t>具体要求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12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制度建设</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绿色金融专营体系建设的银行总（分）行应当自上而下建立标准化的绿色金融业务流程和有效的风险管理机制，设立专门的绿色金融业务中后台支持部门或者岗位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经营规划</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绿色金融机构应制定未来3年绿色金融发展规划</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人才团队</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绿色金融机构应成立专门的绿色金融团队，负责人具有2年以上绿色金融相关业务经验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10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绿色金融机构应配有不少于2名具备金融、环境等复合型知识的专职绿色金融客户经理，并根据业务发展及时增配人员</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kern w:val="0"/>
                <w:sz w:val="24"/>
                <w:lang w:bidi="ar"/>
              </w:rPr>
            </w:pPr>
            <w:r>
              <w:rPr>
                <w:rFonts w:hint="eastAsia" w:ascii="宋体" w:hAnsi="宋体" w:eastAsia="宋体" w:cs="宋体"/>
                <w:color w:val="040404"/>
                <w:kern w:val="0"/>
                <w:sz w:val="24"/>
                <w:lang w:bidi="ar"/>
              </w:rPr>
              <w:t>经营规模</w:t>
            </w:r>
          </w:p>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（202</w:t>
            </w:r>
            <w:r>
              <w:rPr>
                <w:rFonts w:ascii="宋体" w:hAnsi="宋体" w:eastAsia="宋体" w:cs="宋体"/>
                <w:color w:val="040404"/>
                <w:kern w:val="0"/>
                <w:sz w:val="24"/>
                <w:lang w:bidi="ar"/>
              </w:rPr>
              <w:t>2</w:t>
            </w:r>
            <w:r>
              <w:rPr>
                <w:rFonts w:hint="eastAsia" w:ascii="宋体" w:hAnsi="宋体" w:eastAsia="宋体" w:cs="宋体"/>
                <w:color w:val="040404"/>
                <w:kern w:val="0"/>
                <w:sz w:val="24"/>
                <w:lang w:bidi="ar"/>
              </w:rPr>
              <w:t>年）</w:t>
            </w:r>
          </w:p>
        </w:tc>
        <w:tc>
          <w:tcPr>
            <w:tcW w:w="6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绿色金融机构的绿色融资余额占该绿色金融机构全部公司业务融资余额的比重不低于25%</w:t>
            </w:r>
          </w:p>
        </w:tc>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40404"/>
                <w:sz w:val="24"/>
              </w:rPr>
            </w:pPr>
          </w:p>
        </w:tc>
        <w:tc>
          <w:tcPr>
            <w:tcW w:w="6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40404"/>
                <w:sz w:val="24"/>
              </w:rPr>
            </w:pP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40404"/>
                <w:sz w:val="24"/>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eastAsia="宋体" w:cs="宋体"/>
                <w:color w:val="040404"/>
                <w:sz w:val="24"/>
              </w:rPr>
            </w:pPr>
            <w:r>
              <w:rPr>
                <w:rFonts w:hint="eastAsia" w:ascii="宋体" w:hAnsi="宋体" w:eastAsia="宋体" w:cs="宋体"/>
                <w:color w:val="040404"/>
                <w:kern w:val="0"/>
                <w:sz w:val="24"/>
                <w:lang w:bidi="ar"/>
              </w:rPr>
              <w:t>绿色融资余额较年初增速原则上不低于该绿色金融机构各项贷款增速的120%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8"/>
                <w:szCs w:val="28"/>
              </w:rPr>
            </w:pPr>
          </w:p>
        </w:tc>
      </w:tr>
      <w:tr>
        <w:tblPrEx>
          <w:tblCellMar>
            <w:top w:w="0" w:type="dxa"/>
            <w:left w:w="108" w:type="dxa"/>
            <w:bottom w:w="0" w:type="dxa"/>
            <w:right w:w="108" w:type="dxa"/>
          </w:tblCellMar>
        </w:tblPrEx>
        <w:trPr>
          <w:trHeight w:val="7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产品创新</w:t>
            </w: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在总（分）行的指导下，持续开展创新绿色金融产品，提升绿色金融服务质效</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56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总结绿色金融典型案例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40404"/>
                <w:sz w:val="24"/>
              </w:rPr>
            </w:pPr>
            <w:r>
              <w:rPr>
                <w:rFonts w:hint="eastAsia" w:ascii="宋体" w:hAnsi="宋体" w:eastAsia="宋体" w:cs="宋体"/>
                <w:color w:val="040404"/>
                <w:kern w:val="0"/>
                <w:sz w:val="24"/>
                <w:lang w:bidi="ar"/>
              </w:rPr>
              <w:t>绿色运营</w:t>
            </w: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sz w:val="24"/>
              </w:rPr>
            </w:pPr>
            <w:r>
              <w:rPr>
                <w:rFonts w:hint="eastAsia" w:ascii="宋体" w:hAnsi="宋体" w:eastAsia="宋体" w:cs="宋体"/>
                <w:color w:val="040404"/>
                <w:kern w:val="0"/>
                <w:sz w:val="24"/>
                <w:lang w:bidi="ar"/>
              </w:rPr>
              <w:t>积极建设节约型机构，推行绿色办公，践行绿色发展理念，实现绿色低碳运行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r>
        <w:tblPrEx>
          <w:tblCellMar>
            <w:top w:w="0" w:type="dxa"/>
            <w:left w:w="108" w:type="dxa"/>
            <w:bottom w:w="0" w:type="dxa"/>
            <w:right w:w="108" w:type="dxa"/>
          </w:tblCellMar>
        </w:tblPrEx>
        <w:trPr>
          <w:trHeight w:val="516"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宋体" w:hAnsi="宋体" w:eastAsia="宋体" w:cs="宋体"/>
                <w:color w:val="040404"/>
                <w:kern w:val="0"/>
                <w:sz w:val="24"/>
                <w:lang w:bidi="ar"/>
              </w:rPr>
            </w:pPr>
            <w:r>
              <w:rPr>
                <w:rFonts w:hint="eastAsia" w:ascii="宋体" w:hAnsi="宋体" w:eastAsia="宋体" w:cs="宋体"/>
                <w:color w:val="040404"/>
                <w:kern w:val="0"/>
                <w:sz w:val="24"/>
                <w:lang w:bidi="ar"/>
              </w:rPr>
              <w:t>其他</w:t>
            </w:r>
          </w:p>
        </w:tc>
        <w:tc>
          <w:tcPr>
            <w:tcW w:w="62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40404"/>
                <w:kern w:val="0"/>
                <w:sz w:val="24"/>
                <w:lang w:bidi="ar"/>
              </w:rPr>
            </w:pPr>
            <w:r>
              <w:rPr>
                <w:rFonts w:hint="eastAsia" w:ascii="宋体" w:hAnsi="宋体" w:eastAsia="宋体" w:cs="宋体"/>
                <w:color w:val="040404"/>
                <w:kern w:val="0"/>
                <w:sz w:val="24"/>
                <w:lang w:bidi="ar"/>
              </w:rPr>
              <w:t>可补充其他与绿色金融机构建设要求相关的内容，以及在绿色金融领域取得的成就、获得的奖项或奖励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40404"/>
                <w:sz w:val="24"/>
              </w:rPr>
            </w:pPr>
          </w:p>
        </w:tc>
      </w:tr>
    </w:tbl>
    <w:p>
      <w:pPr>
        <w:rPr>
          <w:rFonts w:ascii="宋体" w:hAnsi="宋体" w:eastAsia="宋体"/>
          <w:sz w:val="28"/>
          <w:szCs w:val="28"/>
        </w:rPr>
      </w:pPr>
      <w:r>
        <w:rPr>
          <w:rFonts w:hint="eastAsia" w:ascii="宋体" w:hAnsi="宋体" w:eastAsia="宋体"/>
          <w:sz w:val="28"/>
          <w:szCs w:val="28"/>
        </w:rPr>
        <w:br w:type="textWrapping"/>
      </w:r>
      <w:r>
        <w:rPr>
          <w:rFonts w:hint="eastAsia" w:ascii="宋体" w:hAnsi="宋体" w:eastAsia="宋体"/>
          <w:sz w:val="28"/>
          <w:szCs w:val="28"/>
        </w:rPr>
        <w:t>填报说明：根据《关于加强深圳市银行业绿色金融专营体系建设的指导意见（试行）》</w:t>
      </w:r>
      <w:r>
        <w:rPr>
          <w:rFonts w:ascii="宋体" w:hAnsi="宋体" w:eastAsia="宋体"/>
          <w:sz w:val="28"/>
          <w:szCs w:val="28"/>
        </w:rPr>
        <w:t>（</w:t>
      </w:r>
      <w:r>
        <w:rPr>
          <w:rFonts w:hint="eastAsia" w:ascii="宋体" w:hAnsi="宋体" w:eastAsia="宋体"/>
          <w:sz w:val="28"/>
          <w:szCs w:val="28"/>
        </w:rPr>
        <w:t>深金监规〔2021〕3号</w:t>
      </w:r>
      <w:r>
        <w:rPr>
          <w:rFonts w:ascii="宋体" w:hAnsi="宋体" w:eastAsia="宋体"/>
          <w:sz w:val="28"/>
          <w:szCs w:val="28"/>
        </w:rPr>
        <w:t>）</w:t>
      </w:r>
      <w:r>
        <w:rPr>
          <w:rFonts w:hint="eastAsia" w:ascii="宋体" w:hAnsi="宋体" w:eastAsia="宋体"/>
          <w:sz w:val="28"/>
          <w:szCs w:val="28"/>
        </w:rPr>
        <w:t>中对绿色金融机构的建设要求，已具备条件的，申报机构可对照上表填报机构现状；尚未完全具备条件的，可做出建设计划。</w:t>
      </w:r>
    </w:p>
    <w:p>
      <w:pPr>
        <w:rPr>
          <w:rFonts w:ascii="宋体" w:hAnsi="宋体" w:eastAsia="宋体"/>
          <w:sz w:val="28"/>
          <w:szCs w:val="28"/>
        </w:rPr>
      </w:pPr>
      <w:r>
        <w:rPr>
          <w:rFonts w:hint="eastAsia" w:ascii="宋体" w:hAnsi="宋体" w:eastAsia="宋体"/>
          <w:sz w:val="28"/>
          <w:szCs w:val="28"/>
        </w:rPr>
        <w:br w:type="page"/>
      </w:r>
    </w:p>
    <w:p>
      <w:pPr>
        <w:rPr>
          <w:rFonts w:ascii="宋体" w:hAnsi="宋体" w:eastAsia="宋体"/>
          <w:sz w:val="28"/>
          <w:szCs w:val="28"/>
        </w:rPr>
      </w:pPr>
      <w:r>
        <w:rPr>
          <w:rFonts w:hint="eastAsia" w:ascii="宋体" w:hAnsi="宋体" w:eastAsia="宋体"/>
          <w:sz w:val="28"/>
          <w:szCs w:val="28"/>
        </w:rPr>
        <w:t>附件2-2：</w:t>
      </w:r>
    </w:p>
    <w:p>
      <w:pPr>
        <w:spacing w:line="360" w:lineRule="auto"/>
        <w:jc w:val="left"/>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绿色融资数据统计表</w:t>
      </w:r>
    </w:p>
    <w:p>
      <w:pPr>
        <w:spacing w:line="360" w:lineRule="auto"/>
        <w:jc w:val="center"/>
        <w:rPr>
          <w:rFonts w:ascii="黑体" w:hAnsi="黑体" w:eastAsia="黑体"/>
          <w:sz w:val="32"/>
          <w:szCs w:val="32"/>
        </w:rPr>
      </w:pPr>
    </w:p>
    <w:p>
      <w:pPr>
        <w:jc w:val="left"/>
        <w:rPr>
          <w:rFonts w:ascii="宋体" w:hAnsi="宋体" w:eastAsia="宋体"/>
          <w:sz w:val="28"/>
          <w:szCs w:val="28"/>
        </w:rPr>
      </w:pPr>
      <w:r>
        <w:rPr>
          <w:rFonts w:hint="eastAsia" w:ascii="宋体" w:hAnsi="宋体" w:eastAsia="宋体"/>
          <w:sz w:val="28"/>
          <w:szCs w:val="28"/>
        </w:rPr>
        <w:t xml:space="preserve">申报机构名称（公章）：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ascii="宋体" w:hAnsi="宋体" w:eastAsia="宋体"/>
          <w:sz w:val="28"/>
          <w:szCs w:val="28"/>
        </w:rPr>
      </w:pPr>
    </w:p>
    <w:tbl>
      <w:tblPr>
        <w:tblStyle w:val="11"/>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729"/>
        <w:gridCol w:w="1839"/>
        <w:gridCol w:w="4533"/>
        <w:gridCol w:w="261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09" w:type="pct"/>
            <w:vAlign w:val="center"/>
          </w:tcPr>
          <w:p>
            <w:pPr>
              <w:widowControl/>
              <w:spacing w:line="276" w:lineRule="auto"/>
              <w:jc w:val="center"/>
              <w:rPr>
                <w:rFonts w:ascii="宋体" w:hAnsi="宋体" w:eastAsia="宋体" w:cs="宋体"/>
                <w:color w:val="040404"/>
                <w:kern w:val="0"/>
                <w:sz w:val="24"/>
                <w:szCs w:val="21"/>
              </w:rPr>
            </w:pPr>
          </w:p>
        </w:tc>
        <w:tc>
          <w:tcPr>
            <w:tcW w:w="616" w:type="pct"/>
            <w:vAlign w:val="center"/>
          </w:tcPr>
          <w:p>
            <w:pPr>
              <w:widowControl/>
              <w:spacing w:line="276" w:lineRule="auto"/>
              <w:jc w:val="center"/>
              <w:rPr>
                <w:rFonts w:ascii="宋体" w:hAnsi="宋体" w:eastAsia="宋体" w:cs="宋体"/>
                <w:b/>
                <w:bCs/>
                <w:color w:val="040404"/>
                <w:kern w:val="0"/>
                <w:sz w:val="24"/>
                <w:szCs w:val="21"/>
              </w:rPr>
            </w:pPr>
            <w:r>
              <w:rPr>
                <w:rFonts w:hint="eastAsia" w:ascii="宋体" w:hAnsi="宋体" w:eastAsia="宋体" w:cs="宋体"/>
                <w:b/>
                <w:bCs/>
                <w:color w:val="040404"/>
                <w:kern w:val="0"/>
                <w:sz w:val="24"/>
                <w:szCs w:val="21"/>
              </w:rPr>
              <w:t>绿色金融融资余额</w:t>
            </w:r>
          </w:p>
        </w:tc>
        <w:tc>
          <w:tcPr>
            <w:tcW w:w="655" w:type="pct"/>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全部公司业务融资余额</w:t>
            </w:r>
          </w:p>
        </w:tc>
        <w:tc>
          <w:tcPr>
            <w:tcW w:w="1615" w:type="pct"/>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公司业务融资余额</w:t>
            </w:r>
            <w:r>
              <w:rPr>
                <w:rFonts w:hint="eastAsia" w:ascii="宋体" w:hAnsi="宋体" w:eastAsia="宋体" w:cs="宋体"/>
                <w:b/>
                <w:bCs/>
                <w:color w:val="040404"/>
                <w:kern w:val="0"/>
                <w:sz w:val="24"/>
                <w:szCs w:val="21"/>
              </w:rPr>
              <w:t>中</w:t>
            </w:r>
            <w:r>
              <w:rPr>
                <w:rFonts w:ascii="宋体" w:hAnsi="宋体" w:eastAsia="宋体" w:cs="宋体"/>
                <w:b/>
                <w:bCs/>
                <w:color w:val="040404"/>
                <w:kern w:val="0"/>
                <w:sz w:val="24"/>
                <w:szCs w:val="21"/>
              </w:rPr>
              <w:t>绿色融资余额占</w:t>
            </w:r>
            <w:r>
              <w:rPr>
                <w:rFonts w:hint="eastAsia" w:ascii="宋体" w:hAnsi="宋体" w:eastAsia="宋体" w:cs="宋体"/>
                <w:b/>
                <w:bCs/>
                <w:color w:val="040404"/>
                <w:kern w:val="0"/>
                <w:sz w:val="24"/>
                <w:szCs w:val="21"/>
              </w:rPr>
              <w:t>比</w:t>
            </w:r>
          </w:p>
        </w:tc>
        <w:tc>
          <w:tcPr>
            <w:tcW w:w="0" w:type="auto"/>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绿色融资余额增速</w:t>
            </w:r>
            <w:r>
              <w:rPr>
                <w:rFonts w:hint="eastAsia" w:ascii="宋体" w:hAnsi="宋体" w:eastAsia="宋体" w:cs="宋体"/>
                <w:b/>
                <w:bCs/>
                <w:color w:val="040404"/>
                <w:kern w:val="0"/>
                <w:sz w:val="24"/>
                <w:szCs w:val="21"/>
              </w:rPr>
              <w:t>（%）</w:t>
            </w:r>
          </w:p>
        </w:tc>
        <w:tc>
          <w:tcPr>
            <w:tcW w:w="0" w:type="auto"/>
            <w:vAlign w:val="center"/>
          </w:tcPr>
          <w:p>
            <w:pPr>
              <w:widowControl/>
              <w:spacing w:line="276" w:lineRule="auto"/>
              <w:jc w:val="center"/>
              <w:rPr>
                <w:rFonts w:ascii="宋体" w:hAnsi="宋体" w:eastAsia="宋体" w:cs="宋体"/>
                <w:b/>
                <w:bCs/>
                <w:color w:val="040404"/>
                <w:kern w:val="0"/>
                <w:sz w:val="24"/>
                <w:szCs w:val="21"/>
              </w:rPr>
            </w:pPr>
            <w:r>
              <w:rPr>
                <w:rFonts w:ascii="宋体" w:hAnsi="宋体" w:eastAsia="宋体" w:cs="宋体"/>
                <w:b/>
                <w:bCs/>
                <w:color w:val="040404"/>
                <w:kern w:val="0"/>
                <w:sz w:val="24"/>
                <w:szCs w:val="21"/>
              </w:rPr>
              <w:t>各项贷款增速</w:t>
            </w:r>
            <w:r>
              <w:rPr>
                <w:rFonts w:hint="eastAsia" w:ascii="宋体" w:hAnsi="宋体" w:eastAsia="宋体" w:cs="宋体"/>
                <w:b/>
                <w:bCs/>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409"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021</w:t>
            </w:r>
            <w:r>
              <w:rPr>
                <w:rFonts w:hint="eastAsia" w:ascii="宋体" w:hAnsi="宋体" w:eastAsia="宋体" w:cs="宋体"/>
                <w:color w:val="040404"/>
                <w:kern w:val="0"/>
                <w:sz w:val="24"/>
                <w:szCs w:val="21"/>
              </w:rPr>
              <w:t>年</w:t>
            </w:r>
          </w:p>
        </w:tc>
        <w:tc>
          <w:tcPr>
            <w:tcW w:w="616" w:type="pct"/>
            <w:vAlign w:val="center"/>
          </w:tcPr>
          <w:p>
            <w:pPr>
              <w:widowControl/>
              <w:spacing w:line="276" w:lineRule="auto"/>
              <w:jc w:val="left"/>
              <w:rPr>
                <w:rFonts w:ascii="宋体" w:hAnsi="宋体" w:eastAsia="宋体" w:cs="宋体"/>
                <w:color w:val="040404"/>
                <w:kern w:val="0"/>
                <w:sz w:val="24"/>
                <w:szCs w:val="21"/>
              </w:rPr>
            </w:pPr>
          </w:p>
        </w:tc>
        <w:tc>
          <w:tcPr>
            <w:tcW w:w="655" w:type="pct"/>
            <w:vAlign w:val="center"/>
          </w:tcPr>
          <w:p>
            <w:pPr>
              <w:widowControl/>
              <w:spacing w:line="276" w:lineRule="auto"/>
              <w:jc w:val="left"/>
              <w:rPr>
                <w:rFonts w:ascii="宋体" w:hAnsi="宋体" w:eastAsia="宋体" w:cs="宋体"/>
                <w:color w:val="040404"/>
                <w:kern w:val="0"/>
                <w:sz w:val="24"/>
                <w:szCs w:val="21"/>
              </w:rPr>
            </w:pPr>
          </w:p>
        </w:tc>
        <w:tc>
          <w:tcPr>
            <w:tcW w:w="1615"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w:t>
            </w:r>
          </w:p>
        </w:tc>
        <w:tc>
          <w:tcPr>
            <w:tcW w:w="0" w:type="auto"/>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9"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022</w:t>
            </w:r>
            <w:r>
              <w:rPr>
                <w:rFonts w:hint="eastAsia" w:ascii="宋体" w:hAnsi="宋体" w:eastAsia="宋体" w:cs="宋体"/>
                <w:color w:val="040404"/>
                <w:kern w:val="0"/>
                <w:sz w:val="24"/>
                <w:szCs w:val="21"/>
              </w:rPr>
              <w:t>年</w:t>
            </w:r>
          </w:p>
        </w:tc>
        <w:tc>
          <w:tcPr>
            <w:tcW w:w="616" w:type="pct"/>
            <w:vAlign w:val="center"/>
          </w:tcPr>
          <w:p>
            <w:pPr>
              <w:widowControl/>
              <w:spacing w:line="276" w:lineRule="auto"/>
              <w:jc w:val="left"/>
              <w:rPr>
                <w:rFonts w:ascii="宋体" w:hAnsi="宋体" w:eastAsia="宋体" w:cs="宋体"/>
                <w:color w:val="040404"/>
                <w:kern w:val="0"/>
                <w:sz w:val="24"/>
                <w:szCs w:val="21"/>
              </w:rPr>
            </w:pPr>
          </w:p>
        </w:tc>
        <w:tc>
          <w:tcPr>
            <w:tcW w:w="655" w:type="pct"/>
            <w:vAlign w:val="center"/>
          </w:tcPr>
          <w:p>
            <w:pPr>
              <w:widowControl/>
              <w:spacing w:line="276" w:lineRule="auto"/>
              <w:jc w:val="left"/>
              <w:rPr>
                <w:rFonts w:ascii="宋体" w:hAnsi="宋体" w:eastAsia="宋体" w:cs="宋体"/>
                <w:color w:val="040404"/>
                <w:kern w:val="0"/>
                <w:sz w:val="24"/>
                <w:szCs w:val="21"/>
              </w:rPr>
            </w:pPr>
          </w:p>
        </w:tc>
        <w:tc>
          <w:tcPr>
            <w:tcW w:w="1615"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r>
    </w:tbl>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注：1</w:t>
      </w:r>
      <w:r>
        <w:rPr>
          <w:rFonts w:ascii="宋体" w:hAnsi="宋体" w:eastAsia="宋体"/>
          <w:sz w:val="28"/>
          <w:szCs w:val="28"/>
        </w:rPr>
        <w:t>.</w:t>
      </w:r>
      <w:r>
        <w:rPr>
          <w:rFonts w:hint="eastAsia" w:ascii="宋体" w:hAnsi="宋体" w:eastAsia="宋体"/>
          <w:sz w:val="28"/>
          <w:szCs w:val="28"/>
        </w:rPr>
        <w:t>以银保监局新口径统计</w:t>
      </w: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2.</w:t>
      </w:r>
      <w:r>
        <w:rPr>
          <w:rFonts w:hint="eastAsia" w:ascii="宋体" w:hAnsi="宋体" w:eastAsia="宋体"/>
          <w:sz w:val="28"/>
          <w:szCs w:val="28"/>
        </w:rPr>
        <w:t>增速指年末较年初余额的增长幅度（%）</w:t>
      </w:r>
      <w:bookmarkEnd w:id="0"/>
      <w:bookmarkStart w:id="1" w:name="_GoBack"/>
      <w:bookmarkEnd w:id="1"/>
    </w:p>
    <w:sectPr>
      <w:head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jMxMDgyMzRlYjA0ZDVlZmYwZjc1ZjcyZWRkNzQifQ=="/>
  </w:docVars>
  <w:rsids>
    <w:rsidRoot w:val="4A1947CF"/>
    <w:rsid w:val="001671E0"/>
    <w:rsid w:val="001978DD"/>
    <w:rsid w:val="001B2DA3"/>
    <w:rsid w:val="00380577"/>
    <w:rsid w:val="008078AE"/>
    <w:rsid w:val="009C54C8"/>
    <w:rsid w:val="00A7672C"/>
    <w:rsid w:val="00AD696C"/>
    <w:rsid w:val="00C924B4"/>
    <w:rsid w:val="00CA1E18"/>
    <w:rsid w:val="00CD30DC"/>
    <w:rsid w:val="00DC4B42"/>
    <w:rsid w:val="042616FB"/>
    <w:rsid w:val="118F2212"/>
    <w:rsid w:val="1F8343DB"/>
    <w:rsid w:val="2B96ABED"/>
    <w:rsid w:val="2D4B09FD"/>
    <w:rsid w:val="451765DB"/>
    <w:rsid w:val="4A1947CF"/>
    <w:rsid w:val="4C5F19F3"/>
    <w:rsid w:val="59F63B32"/>
    <w:rsid w:val="5BDD6CD3"/>
    <w:rsid w:val="62B31D84"/>
    <w:rsid w:val="62D95205"/>
    <w:rsid w:val="66664CDC"/>
    <w:rsid w:val="6BD65636"/>
    <w:rsid w:val="6FDE90E6"/>
    <w:rsid w:val="6FF956F0"/>
    <w:rsid w:val="70944944"/>
    <w:rsid w:val="70C72A2F"/>
    <w:rsid w:val="7499158C"/>
    <w:rsid w:val="77C009E8"/>
    <w:rsid w:val="77EF26F3"/>
    <w:rsid w:val="7BF6584D"/>
    <w:rsid w:val="7D890FAB"/>
    <w:rsid w:val="7FFA85AA"/>
    <w:rsid w:val="8EE73064"/>
    <w:rsid w:val="CF9C2E8C"/>
    <w:rsid w:val="DFDF8CF1"/>
    <w:rsid w:val="EBDBD3B1"/>
    <w:rsid w:val="EFFBDE75"/>
    <w:rsid w:val="FBCBD9BE"/>
    <w:rsid w:val="FBFA7B46"/>
    <w:rsid w:val="FEFFA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semiHidden/>
    <w:unhideWhenUsed/>
    <w:qFormat/>
    <w:uiPriority w:val="0"/>
    <w:pPr>
      <w:keepNext/>
      <w:keepLines/>
      <w:spacing w:line="578" w:lineRule="exact"/>
      <w:ind w:firstLine="643" w:firstLineChars="200"/>
      <w:outlineLvl w:val="1"/>
    </w:pPr>
    <w:rPr>
      <w:rFonts w:ascii="Times New Roman" w:hAnsi="Times New Roman" w:eastAsia="楷体_GB2312" w:cs="Times New Roman"/>
      <w:b/>
    </w:rPr>
  </w:style>
  <w:style w:type="paragraph" w:styleId="4">
    <w:name w:val="heading 3"/>
    <w:basedOn w:val="1"/>
    <w:next w:val="1"/>
    <w:unhideWhenUsed/>
    <w:qFormat/>
    <w:uiPriority w:val="0"/>
    <w:pPr>
      <w:keepNext/>
      <w:keepLines/>
      <w:adjustRightInd w:val="0"/>
      <w:spacing w:before="120" w:after="120"/>
      <w:outlineLvl w:val="2"/>
    </w:pPr>
    <w:rPr>
      <w:rFonts w:eastAsia="楷体"/>
      <w:b/>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7"/>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眉 字符"/>
    <w:basedOn w:val="12"/>
    <w:link w:val="7"/>
    <w:qFormat/>
    <w:uiPriority w:val="0"/>
    <w:rPr>
      <w:rFonts w:asciiTheme="minorHAnsi" w:hAnsiTheme="minorHAnsi" w:eastAsiaTheme="minorEastAsia" w:cstheme="minorBidi"/>
      <w:kern w:val="2"/>
      <w:sz w:val="18"/>
      <w:szCs w:val="18"/>
    </w:rPr>
  </w:style>
  <w:style w:type="character" w:customStyle="1" w:styleId="15">
    <w:name w:val="页脚 字符"/>
    <w:basedOn w:val="12"/>
    <w:link w:val="6"/>
    <w:qFormat/>
    <w:uiPriority w:val="0"/>
    <w:rPr>
      <w:rFonts w:asciiTheme="minorHAnsi" w:hAnsiTheme="minorHAnsi" w:eastAsiaTheme="minorEastAsia" w:cstheme="minorBidi"/>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日期 字符"/>
    <w:basedOn w:val="12"/>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37FBB-7A56-445F-8EB5-81E140497554}">
  <ds:schemaRefs/>
</ds:datastoreItem>
</file>

<file path=docProps/app.xml><?xml version="1.0" encoding="utf-8"?>
<Properties xmlns="http://schemas.openxmlformats.org/officeDocument/2006/extended-properties" xmlns:vt="http://schemas.openxmlformats.org/officeDocument/2006/docPropsVTypes">
  <Template>Normal</Template>
  <Pages>7</Pages>
  <Words>2167</Words>
  <Characters>2227</Characters>
  <Lines>19</Lines>
  <Paragraphs>5</Paragraphs>
  <TotalTime>2</TotalTime>
  <ScaleCrop>false</ScaleCrop>
  <LinksUpToDate>false</LinksUpToDate>
  <CharactersWithSpaces>2394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2023-04-07T06:15:00Z</dcterms:created>
  <dc:creator>d</dc:creator>
  <cp:lastModifiedBy>SunX</cp:lastModifiedBy>
  <dcterms:modified xsi:type="dcterms:W3CDTF">2023-04-07T06:17:23Z</dcterms:modified>
  <dc:title>市地方金融监管局关于启动绿色金融申报及存续管理工作的通知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B945E6523CA54B22B821ABC340E272CB</vt:lpwstr>
  </property>
</Properties>
</file>