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36"/>
          <w:szCs w:val="36"/>
        </w:rPr>
      </w:pP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2022年深圳市金融骨干人才培养计划</w:t>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深圳市大湾区金融研究院专题项目</w:t>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——大湾区合作与跨境金融介绍</w:t>
      </w:r>
    </w:p>
    <w:p>
      <w:pPr>
        <w:spacing w:line="560" w:lineRule="exact"/>
        <w:rPr>
          <w:rFonts w:ascii="黑体" w:hAnsi="黑体" w:eastAsia="黑体"/>
          <w:b/>
          <w:bCs/>
          <w:sz w:val="32"/>
          <w:szCs w:val="36"/>
        </w:rPr>
      </w:pPr>
    </w:p>
    <w:p>
      <w:pPr>
        <w:spacing w:line="560" w:lineRule="exact"/>
        <w:ind w:firstLine="640" w:firstLineChars="200"/>
        <w:rPr>
          <w:rFonts w:ascii="仿宋_GB2312" w:eastAsia="仿宋_GB2312"/>
          <w:sz w:val="28"/>
          <w:szCs w:val="32"/>
        </w:rPr>
      </w:pPr>
      <w:r>
        <w:rPr>
          <w:rFonts w:hint="eastAsia" w:ascii="黑体" w:hAnsi="黑体" w:eastAsia="黑体"/>
          <w:sz w:val="32"/>
          <w:szCs w:val="36"/>
        </w:rPr>
        <w:t>一、项目亮点</w:t>
      </w:r>
    </w:p>
    <w:p>
      <w:pPr>
        <w:spacing w:line="560" w:lineRule="exact"/>
        <w:ind w:firstLine="640" w:firstLineChars="200"/>
        <w:rPr>
          <w:rFonts w:ascii="楷体_GB2312" w:hAnsi="楷体" w:eastAsia="楷体_GB2312" w:cs="Times New Roman"/>
          <w:sz w:val="32"/>
          <w:szCs w:val="32"/>
          <w:lang w:bidi="ar"/>
        </w:rPr>
      </w:pPr>
      <w:r>
        <w:rPr>
          <w:rFonts w:hint="eastAsia" w:ascii="楷体_GB2312" w:hAnsi="楷体" w:eastAsia="楷体_GB2312" w:cs="Times New Roman"/>
          <w:sz w:val="32"/>
          <w:szCs w:val="32"/>
          <w:lang w:bidi="ar"/>
        </w:rPr>
        <w:t>（一）新课程理念。</w:t>
      </w:r>
    </w:p>
    <w:p>
      <w:pPr>
        <w:spacing w:line="560" w:lineRule="exact"/>
        <w:ind w:firstLine="640" w:firstLineChars="200"/>
        <w:rPr>
          <w:rFonts w:ascii="仿宋_GB2312" w:hAnsi="楷体" w:eastAsia="仿宋_GB2312" w:cs="Times New Roman"/>
          <w:sz w:val="32"/>
          <w:szCs w:val="32"/>
          <w:lang w:bidi="ar"/>
        </w:rPr>
      </w:pPr>
      <w:r>
        <w:rPr>
          <w:rFonts w:hint="eastAsia" w:ascii="仿宋_GB2312" w:hAnsi="楷体" w:eastAsia="仿宋_GB2312" w:cs="Times New Roman"/>
          <w:sz w:val="32"/>
          <w:szCs w:val="32"/>
          <w:lang w:bidi="ar"/>
        </w:rPr>
        <w:t>项目将结合“十四五”规划，从国家战略和国际形势角度结合中国现代金融服务业的现状、重点和难点，探索技术创新推动业务创新、模式创新推动制度创新，深刻探讨中国金融业未来发展路径，实现大湾区金融深度合作与跨境金融高质量发展。</w:t>
      </w:r>
    </w:p>
    <w:p>
      <w:pPr>
        <w:spacing w:line="560" w:lineRule="exact"/>
        <w:ind w:firstLine="640" w:firstLineChars="200"/>
        <w:rPr>
          <w:rFonts w:ascii="楷体_GB2312" w:hAnsi="楷体" w:eastAsia="楷体_GB2312" w:cs="Times New Roman"/>
          <w:sz w:val="32"/>
          <w:szCs w:val="32"/>
          <w:lang w:bidi="ar"/>
        </w:rPr>
      </w:pPr>
      <w:r>
        <w:rPr>
          <w:rFonts w:hint="eastAsia" w:ascii="楷体_GB2312" w:hAnsi="楷体" w:eastAsia="楷体_GB2312" w:cs="Times New Roman"/>
          <w:sz w:val="32"/>
          <w:szCs w:val="32"/>
          <w:lang w:bidi="ar"/>
        </w:rPr>
        <w:t>（二）高质量师资。</w:t>
      </w:r>
    </w:p>
    <w:p>
      <w:pPr>
        <w:spacing w:line="560" w:lineRule="exact"/>
        <w:ind w:firstLine="640" w:firstLineChars="200"/>
        <w:rPr>
          <w:rFonts w:ascii="仿宋_GB2312" w:hAnsi="楷体" w:eastAsia="仿宋_GB2312" w:cs="Times New Roman"/>
          <w:sz w:val="32"/>
          <w:szCs w:val="32"/>
          <w:lang w:bidi="ar"/>
        </w:rPr>
      </w:pPr>
      <w:r>
        <w:rPr>
          <w:rFonts w:hint="eastAsia" w:ascii="仿宋_GB2312" w:hAnsi="楷体" w:eastAsia="仿宋_GB2312" w:cs="Times New Roman"/>
          <w:sz w:val="32"/>
          <w:szCs w:val="32"/>
          <w:lang w:bidi="ar"/>
        </w:rPr>
        <w:t>项目将邀请国内顶尖经济学家、金融学家、知名学者、著名教授、相关领域权威人士和监管人员、业界大咖等作为讲师和客座人员，全面结合目前大湾区金融发展态势和未来跨境金融发展路径，提供超前的学术视角和业务实践。</w:t>
      </w:r>
    </w:p>
    <w:p>
      <w:pPr>
        <w:spacing w:line="560" w:lineRule="exact"/>
        <w:ind w:left="1" w:firstLine="640" w:firstLineChars="200"/>
        <w:rPr>
          <w:rFonts w:ascii="楷体_GB2312" w:hAnsi="楷体" w:eastAsia="楷体_GB2312"/>
          <w:sz w:val="32"/>
          <w:szCs w:val="32"/>
        </w:rPr>
      </w:pPr>
      <w:r>
        <w:rPr>
          <w:rFonts w:hint="eastAsia" w:ascii="楷体_GB2312" w:hAnsi="楷体" w:eastAsia="楷体_GB2312"/>
          <w:sz w:val="32"/>
          <w:szCs w:val="32"/>
        </w:rPr>
        <w:t>（三）多元化课堂。</w:t>
      </w:r>
    </w:p>
    <w:p>
      <w:pPr>
        <w:spacing w:line="560" w:lineRule="exact"/>
        <w:ind w:left="1" w:firstLine="640" w:firstLineChars="200"/>
        <w:rPr>
          <w:rFonts w:ascii="仿宋_GB2312" w:hAnsi="楷体" w:eastAsia="仿宋_GB2312"/>
          <w:color w:val="FF0000"/>
          <w:sz w:val="32"/>
          <w:szCs w:val="32"/>
        </w:rPr>
      </w:pPr>
      <w:r>
        <w:rPr>
          <w:rFonts w:hint="eastAsia" w:ascii="仿宋_GB2312" w:hAnsi="楷体" w:eastAsia="仿宋_GB2312"/>
          <w:sz w:val="32"/>
          <w:szCs w:val="32"/>
        </w:rPr>
        <w:t>以线上线下授课、圆桌论坛、学术沙龙、实地走访等多种教学方式，打造全方位多元化课堂。不断更新迭代学习内容和形式，聚焦大湾区金融合作和跨境金融创新发展，不断拓展学员深度交流，以期搭建项目资源共享平台，通过全方位、多元化、实操性的教学授课形势，实现学员从相关金融领域理论到业务落地实践的全方位发展。</w:t>
      </w:r>
    </w:p>
    <w:p>
      <w:pPr>
        <w:spacing w:line="560" w:lineRule="exact"/>
        <w:ind w:firstLine="640" w:firstLineChars="200"/>
        <w:rPr>
          <w:rFonts w:ascii="黑体" w:hAnsi="黑体" w:eastAsia="黑体"/>
          <w:sz w:val="32"/>
          <w:szCs w:val="36"/>
        </w:rPr>
      </w:pPr>
      <w:r>
        <w:rPr>
          <w:rFonts w:hint="eastAsia" w:ascii="黑体" w:hAnsi="黑体" w:eastAsia="黑体"/>
          <w:sz w:val="32"/>
          <w:szCs w:val="36"/>
        </w:rPr>
        <w:t>二、课程设置及师资介绍</w:t>
      </w:r>
    </w:p>
    <w:tbl>
      <w:tblPr>
        <w:tblStyle w:val="10"/>
        <w:tblW w:w="8327" w:type="dxa"/>
        <w:tblInd w:w="0" w:type="dxa"/>
        <w:tblLayout w:type="autofit"/>
        <w:tblCellMar>
          <w:top w:w="0" w:type="dxa"/>
          <w:left w:w="108" w:type="dxa"/>
          <w:bottom w:w="0" w:type="dxa"/>
          <w:right w:w="108" w:type="dxa"/>
        </w:tblCellMar>
      </w:tblPr>
      <w:tblGrid>
        <w:gridCol w:w="846"/>
        <w:gridCol w:w="1342"/>
        <w:gridCol w:w="1393"/>
        <w:gridCol w:w="4746"/>
      </w:tblGrid>
      <w:tr>
        <w:tblPrEx>
          <w:tblCellMar>
            <w:top w:w="0" w:type="dxa"/>
            <w:left w:w="108" w:type="dxa"/>
            <w:bottom w:w="0" w:type="dxa"/>
            <w:right w:w="108" w:type="dxa"/>
          </w:tblCellMar>
        </w:tblPrEx>
        <w:trPr>
          <w:trHeight w:val="636" w:hRule="atLeast"/>
        </w:trPr>
        <w:tc>
          <w:tcPr>
            <w:tcW w:w="84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line="560" w:lineRule="exact"/>
              <w:jc w:val="center"/>
              <w:rPr>
                <w:rFonts w:ascii="楷体_GB2312" w:hAnsi="黑体" w:eastAsia="楷体_GB2312" w:cs="宋体"/>
                <w:b/>
                <w:bCs/>
                <w:color w:val="000000"/>
                <w:kern w:val="0"/>
                <w:sz w:val="28"/>
                <w:szCs w:val="28"/>
              </w:rPr>
            </w:pPr>
            <w:r>
              <w:rPr>
                <w:rFonts w:hint="eastAsia" w:ascii="楷体_GB2312" w:hAnsi="黑体" w:eastAsia="楷体_GB2312" w:cs="宋体"/>
                <w:b/>
                <w:bCs/>
                <w:color w:val="000000"/>
                <w:kern w:val="0"/>
                <w:sz w:val="28"/>
                <w:szCs w:val="28"/>
              </w:rPr>
              <w:t>序号</w:t>
            </w:r>
          </w:p>
        </w:tc>
        <w:tc>
          <w:tcPr>
            <w:tcW w:w="1342"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560" w:lineRule="exact"/>
              <w:jc w:val="center"/>
              <w:rPr>
                <w:rFonts w:ascii="楷体_GB2312" w:hAnsi="黑体" w:eastAsia="楷体_GB2312" w:cs="宋体"/>
                <w:b/>
                <w:bCs/>
                <w:color w:val="000000"/>
                <w:kern w:val="0"/>
                <w:sz w:val="28"/>
                <w:szCs w:val="28"/>
              </w:rPr>
            </w:pPr>
            <w:r>
              <w:rPr>
                <w:rFonts w:hint="eastAsia" w:ascii="楷体_GB2312" w:hAnsi="黑体" w:eastAsia="楷体_GB2312" w:cs="宋体"/>
                <w:b/>
                <w:bCs/>
                <w:color w:val="000000"/>
                <w:kern w:val="0"/>
                <w:sz w:val="28"/>
                <w:szCs w:val="28"/>
              </w:rPr>
              <w:t>授课形式</w:t>
            </w:r>
          </w:p>
        </w:tc>
        <w:tc>
          <w:tcPr>
            <w:tcW w:w="1393"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560" w:lineRule="exact"/>
              <w:jc w:val="center"/>
              <w:rPr>
                <w:rFonts w:ascii="楷体_GB2312" w:hAnsi="黑体" w:eastAsia="楷体_GB2312" w:cs="宋体"/>
                <w:b/>
                <w:bCs/>
                <w:color w:val="000000"/>
                <w:kern w:val="0"/>
                <w:sz w:val="28"/>
                <w:szCs w:val="28"/>
              </w:rPr>
            </w:pPr>
            <w:r>
              <w:rPr>
                <w:rFonts w:hint="eastAsia" w:ascii="楷体_GB2312" w:hAnsi="黑体" w:eastAsia="楷体_GB2312" w:cs="宋体"/>
                <w:b/>
                <w:bCs/>
                <w:color w:val="000000"/>
                <w:kern w:val="0"/>
                <w:sz w:val="28"/>
                <w:szCs w:val="28"/>
              </w:rPr>
              <w:t>课程名称</w:t>
            </w:r>
          </w:p>
        </w:tc>
        <w:tc>
          <w:tcPr>
            <w:tcW w:w="474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560" w:lineRule="exact"/>
              <w:jc w:val="center"/>
              <w:rPr>
                <w:rFonts w:ascii="楷体_GB2312" w:hAnsi="黑体" w:eastAsia="楷体_GB2312" w:cs="宋体"/>
                <w:b/>
                <w:bCs/>
                <w:color w:val="000000"/>
                <w:kern w:val="0"/>
                <w:sz w:val="28"/>
                <w:szCs w:val="28"/>
              </w:rPr>
            </w:pPr>
            <w:r>
              <w:rPr>
                <w:rFonts w:hint="eastAsia" w:ascii="楷体_GB2312" w:hAnsi="黑体" w:eastAsia="楷体_GB2312" w:cs="宋体"/>
                <w:b/>
                <w:bCs/>
                <w:color w:val="000000"/>
                <w:kern w:val="0"/>
                <w:sz w:val="28"/>
                <w:szCs w:val="28"/>
              </w:rPr>
              <w:t>师资介绍</w:t>
            </w:r>
          </w:p>
        </w:tc>
      </w:tr>
      <w:tr>
        <w:tblPrEx>
          <w:tblCellMar>
            <w:top w:w="0" w:type="dxa"/>
            <w:left w:w="108" w:type="dxa"/>
            <w:bottom w:w="0" w:type="dxa"/>
            <w:right w:w="108" w:type="dxa"/>
          </w:tblCellMar>
        </w:tblPrEx>
        <w:trPr>
          <w:trHeight w:val="9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342" w:type="dxa"/>
            <w:vMerge w:val="restart"/>
            <w:tcBorders>
              <w:top w:val="nil"/>
              <w:left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28"/>
                <w:szCs w:val="28"/>
              </w:rPr>
            </w:pPr>
          </w:p>
          <w:p>
            <w:pPr>
              <w:widowControl/>
              <w:spacing w:line="560" w:lineRule="exact"/>
              <w:jc w:val="center"/>
              <w:rPr>
                <w:rFonts w:ascii="仿宋_GB2312" w:hAnsi="宋体" w:eastAsia="仿宋_GB2312" w:cs="宋体"/>
                <w:color w:val="000000"/>
                <w:kern w:val="0"/>
                <w:sz w:val="28"/>
                <w:szCs w:val="28"/>
              </w:rPr>
            </w:pPr>
          </w:p>
          <w:p>
            <w:pPr>
              <w:widowControl/>
              <w:spacing w:line="560" w:lineRule="exact"/>
              <w:jc w:val="center"/>
              <w:rPr>
                <w:rFonts w:ascii="仿宋_GB2312" w:hAnsi="宋体" w:eastAsia="仿宋_GB2312" w:cs="宋体"/>
                <w:color w:val="000000"/>
                <w:kern w:val="0"/>
                <w:sz w:val="28"/>
                <w:szCs w:val="28"/>
              </w:rPr>
            </w:pPr>
          </w:p>
          <w:p>
            <w:pPr>
              <w:widowControl/>
              <w:spacing w:line="560" w:lineRule="exact"/>
              <w:jc w:val="center"/>
              <w:rPr>
                <w:rFonts w:ascii="仿宋_GB2312" w:hAnsi="宋体" w:eastAsia="仿宋_GB2312" w:cs="宋体"/>
                <w:color w:val="000000"/>
                <w:kern w:val="0"/>
                <w:sz w:val="28"/>
                <w:szCs w:val="28"/>
              </w:rPr>
            </w:pPr>
          </w:p>
          <w:p>
            <w:pPr>
              <w:widowControl/>
              <w:spacing w:line="560" w:lineRule="exact"/>
              <w:jc w:val="center"/>
              <w:rPr>
                <w:rFonts w:ascii="仿宋_GB2312" w:hAnsi="宋体" w:eastAsia="仿宋_GB2312" w:cs="宋体"/>
                <w:color w:val="000000"/>
                <w:kern w:val="0"/>
                <w:sz w:val="28"/>
                <w:szCs w:val="28"/>
              </w:rPr>
            </w:pPr>
          </w:p>
          <w:p>
            <w:pPr>
              <w:widowControl/>
              <w:spacing w:line="560" w:lineRule="exact"/>
              <w:jc w:val="center"/>
              <w:rPr>
                <w:rFonts w:ascii="仿宋_GB2312" w:hAnsi="宋体" w:eastAsia="仿宋_GB2312" w:cs="宋体"/>
                <w:color w:val="000000"/>
                <w:kern w:val="0"/>
                <w:sz w:val="28"/>
                <w:szCs w:val="28"/>
              </w:rPr>
            </w:pPr>
          </w:p>
          <w:p>
            <w:pPr>
              <w:widowControl/>
              <w:spacing w:line="560" w:lineRule="exact"/>
              <w:jc w:val="center"/>
              <w:rPr>
                <w:rFonts w:ascii="仿宋_GB2312" w:hAnsi="宋体" w:eastAsia="仿宋_GB2312" w:cs="宋体"/>
                <w:color w:val="000000"/>
                <w:kern w:val="0"/>
                <w:sz w:val="28"/>
                <w:szCs w:val="28"/>
              </w:rPr>
            </w:pPr>
          </w:p>
          <w:p>
            <w:pPr>
              <w:widowControl/>
              <w:spacing w:line="560" w:lineRule="exact"/>
              <w:jc w:val="center"/>
              <w:rPr>
                <w:rFonts w:ascii="仿宋_GB2312" w:hAnsi="宋体" w:eastAsia="仿宋_GB2312" w:cs="宋体"/>
                <w:color w:val="000000"/>
                <w:kern w:val="0"/>
                <w:sz w:val="28"/>
                <w:szCs w:val="28"/>
              </w:rPr>
            </w:pPr>
          </w:p>
          <w:p>
            <w:pPr>
              <w:widowControl/>
              <w:spacing w:line="560" w:lineRule="exact"/>
              <w:jc w:val="center"/>
              <w:rPr>
                <w:rFonts w:ascii="仿宋_GB2312" w:hAnsi="宋体" w:eastAsia="仿宋_GB2312" w:cs="宋体"/>
                <w:color w:val="000000"/>
                <w:kern w:val="0"/>
                <w:sz w:val="28"/>
                <w:szCs w:val="28"/>
              </w:rPr>
            </w:pPr>
          </w:p>
          <w:p>
            <w:pPr>
              <w:widowControl/>
              <w:spacing w:line="560" w:lineRule="exact"/>
              <w:jc w:val="center"/>
              <w:rPr>
                <w:rFonts w:ascii="仿宋_GB2312" w:hAnsi="宋体" w:eastAsia="仿宋_GB2312" w:cs="宋体"/>
                <w:color w:val="000000"/>
                <w:kern w:val="0"/>
                <w:sz w:val="28"/>
                <w:szCs w:val="28"/>
              </w:rPr>
            </w:pPr>
          </w:p>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主题讲座</w:t>
            </w:r>
          </w:p>
        </w:tc>
        <w:tc>
          <w:tcPr>
            <w:tcW w:w="1393" w:type="dxa"/>
            <w:tcBorders>
              <w:top w:val="nil"/>
              <w:left w:val="nil"/>
              <w:bottom w:val="single" w:color="auto" w:sz="4" w:space="0"/>
              <w:right w:val="single" w:color="auto" w:sz="4" w:space="0"/>
            </w:tcBorders>
            <w:shd w:val="clear" w:color="auto" w:fill="auto"/>
            <w:vAlign w:val="center"/>
          </w:tcPr>
          <w:p>
            <w:pPr>
              <w:pStyle w:val="19"/>
              <w:spacing w:line="560" w:lineRule="exact"/>
              <w:jc w:val="center"/>
              <w:rPr>
                <w:rFonts w:ascii="仿宋_GB2312" w:eastAsia="仿宋_GB2312"/>
                <w:sz w:val="28"/>
                <w:szCs w:val="28"/>
              </w:rPr>
            </w:pPr>
            <w:r>
              <w:rPr>
                <w:rFonts w:hint="eastAsia" w:ascii="仿宋_GB2312" w:eastAsia="仿宋_GB2312"/>
                <w:color w:val="000000"/>
                <w:sz w:val="28"/>
                <w:szCs w:val="28"/>
              </w:rPr>
              <w:t>大湾区跨境金融合作业务探索</w:t>
            </w:r>
            <w:r>
              <w:rPr>
                <w:rFonts w:hint="eastAsia" w:ascii="仿宋_GB2312" w:eastAsia="仿宋_GB2312"/>
                <w:color w:val="000000"/>
                <w:sz w:val="28"/>
                <w:szCs w:val="28"/>
                <w:lang w:val="en-US" w:eastAsia="zh-CN"/>
              </w:rPr>
              <w:t>与</w:t>
            </w:r>
            <w:r>
              <w:rPr>
                <w:rFonts w:hint="eastAsia" w:ascii="仿宋_GB2312" w:eastAsia="仿宋_GB2312"/>
                <w:color w:val="000000"/>
                <w:sz w:val="28"/>
                <w:szCs w:val="28"/>
              </w:rPr>
              <w:t>实践</w:t>
            </w:r>
          </w:p>
        </w:tc>
        <w:tc>
          <w:tcPr>
            <w:tcW w:w="4746" w:type="dxa"/>
            <w:tcBorders>
              <w:top w:val="nil"/>
              <w:left w:val="nil"/>
              <w:bottom w:val="single" w:color="auto" w:sz="4" w:space="0"/>
              <w:right w:val="single" w:color="auto" w:sz="4" w:space="0"/>
            </w:tcBorders>
            <w:shd w:val="clear" w:color="auto" w:fill="auto"/>
            <w:vAlign w:val="center"/>
          </w:tcPr>
          <w:p>
            <w:pPr>
              <w:pStyle w:val="19"/>
              <w:spacing w:line="560" w:lineRule="exact"/>
              <w:ind w:firstLine="562" w:firstLineChars="200"/>
              <w:rPr>
                <w:rFonts w:ascii="仿宋_GB2312" w:eastAsia="仿宋_GB2312"/>
                <w:sz w:val="28"/>
                <w:szCs w:val="28"/>
              </w:rPr>
            </w:pPr>
            <w:r>
              <w:rPr>
                <w:rFonts w:hint="eastAsia" w:ascii="仿宋_GB2312" w:eastAsia="仿宋_GB2312"/>
                <w:b/>
                <w:bCs/>
                <w:color w:val="000000"/>
                <w:sz w:val="28"/>
                <w:szCs w:val="28"/>
              </w:rPr>
              <w:t>吴晓求，</w:t>
            </w:r>
            <w:r>
              <w:rPr>
                <w:rFonts w:hint="eastAsia" w:ascii="仿宋_GB2312" w:eastAsia="仿宋_GB2312"/>
                <w:color w:val="000000"/>
                <w:sz w:val="28"/>
                <w:szCs w:val="28"/>
              </w:rPr>
              <w:t>著名经济学家，金融证券研究专家。曾任中国人民大学副校长，金融与证券研究所所长，金融系教授，博士生导师，教育部特聘教授，国务院学位委员会学科评</w:t>
            </w:r>
            <w:bookmarkStart w:id="0" w:name="_GoBack"/>
            <w:bookmarkEnd w:id="0"/>
            <w:r>
              <w:rPr>
                <w:rFonts w:hint="eastAsia" w:ascii="仿宋_GB2312" w:eastAsia="仿宋_GB2312"/>
                <w:color w:val="000000"/>
                <w:sz w:val="28"/>
                <w:szCs w:val="28"/>
              </w:rPr>
              <w:t>议组成员，中国证监会第九届发审委委员，中国金融学会常务理事。</w:t>
            </w:r>
          </w:p>
        </w:tc>
      </w:tr>
      <w:tr>
        <w:tblPrEx>
          <w:tblCellMar>
            <w:top w:w="0" w:type="dxa"/>
            <w:left w:w="108" w:type="dxa"/>
            <w:bottom w:w="0" w:type="dxa"/>
            <w:right w:w="108" w:type="dxa"/>
          </w:tblCellMar>
        </w:tblPrEx>
        <w:trPr>
          <w:trHeight w:val="132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1342"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28"/>
                <w:szCs w:val="28"/>
              </w:rPr>
            </w:pPr>
          </w:p>
        </w:tc>
        <w:tc>
          <w:tcPr>
            <w:tcW w:w="1393" w:type="dxa"/>
            <w:tcBorders>
              <w:top w:val="nil"/>
              <w:left w:val="nil"/>
              <w:bottom w:val="single" w:color="auto" w:sz="4" w:space="0"/>
              <w:right w:val="single" w:color="auto" w:sz="4" w:space="0"/>
            </w:tcBorders>
            <w:shd w:val="clear" w:color="auto" w:fill="auto"/>
            <w:vAlign w:val="center"/>
          </w:tcPr>
          <w:p>
            <w:pPr>
              <w:pStyle w:val="19"/>
              <w:spacing w:after="300" w:line="560" w:lineRule="exact"/>
              <w:jc w:val="center"/>
              <w:rPr>
                <w:rFonts w:ascii="仿宋_GB2312" w:eastAsia="仿宋_GB2312"/>
                <w:sz w:val="28"/>
                <w:szCs w:val="28"/>
              </w:rPr>
            </w:pPr>
            <w:r>
              <w:rPr>
                <w:rFonts w:hint="eastAsia" w:ascii="仿宋_GB2312" w:eastAsia="仿宋_GB2312"/>
                <w:color w:val="000000"/>
                <w:sz w:val="28"/>
                <w:szCs w:val="28"/>
              </w:rPr>
              <w:t>大湾区外汇管理现状与趋势</w:t>
            </w:r>
          </w:p>
        </w:tc>
        <w:tc>
          <w:tcPr>
            <w:tcW w:w="4746" w:type="dxa"/>
            <w:tcBorders>
              <w:top w:val="nil"/>
              <w:left w:val="nil"/>
              <w:bottom w:val="single" w:color="auto" w:sz="4" w:space="0"/>
              <w:right w:val="single" w:color="auto" w:sz="4" w:space="0"/>
            </w:tcBorders>
            <w:shd w:val="clear" w:color="auto" w:fill="auto"/>
            <w:vAlign w:val="center"/>
          </w:tcPr>
          <w:p>
            <w:pPr>
              <w:pStyle w:val="19"/>
              <w:spacing w:line="560" w:lineRule="exact"/>
              <w:ind w:firstLine="560" w:firstLineChars="200"/>
              <w:jc w:val="left"/>
              <w:rPr>
                <w:rFonts w:ascii="仿宋_GB2312" w:eastAsia="仿宋_GB2312"/>
                <w:strike/>
                <w:sz w:val="28"/>
                <w:szCs w:val="28"/>
              </w:rPr>
            </w:pPr>
            <w:r>
              <w:rPr>
                <w:rFonts w:hint="eastAsia" w:ascii="仿宋_GB2312" w:eastAsia="仿宋_GB2312"/>
                <w:color w:val="000000"/>
                <w:sz w:val="28"/>
                <w:szCs w:val="28"/>
              </w:rPr>
              <w:t>知名外汇和跨境金融时务专家。</w:t>
            </w:r>
          </w:p>
        </w:tc>
      </w:tr>
      <w:tr>
        <w:tblPrEx>
          <w:tblCellMar>
            <w:top w:w="0" w:type="dxa"/>
            <w:left w:w="108" w:type="dxa"/>
            <w:bottom w:w="0" w:type="dxa"/>
            <w:right w:w="108" w:type="dxa"/>
          </w:tblCellMar>
        </w:tblPrEx>
        <w:trPr>
          <w:trHeight w:val="56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1342"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28"/>
                <w:szCs w:val="28"/>
              </w:rPr>
            </w:pPr>
          </w:p>
        </w:tc>
        <w:tc>
          <w:tcPr>
            <w:tcW w:w="1393" w:type="dxa"/>
            <w:tcBorders>
              <w:top w:val="nil"/>
              <w:left w:val="nil"/>
              <w:bottom w:val="single" w:color="auto" w:sz="4" w:space="0"/>
              <w:right w:val="single" w:color="auto" w:sz="4" w:space="0"/>
            </w:tcBorders>
            <w:shd w:val="clear" w:color="auto" w:fill="auto"/>
            <w:vAlign w:val="center"/>
          </w:tcPr>
          <w:p>
            <w:pPr>
              <w:pStyle w:val="19"/>
              <w:spacing w:after="300" w:line="560" w:lineRule="exact"/>
              <w:jc w:val="center"/>
              <w:rPr>
                <w:rFonts w:ascii="仿宋_GB2312" w:eastAsia="仿宋_GB2312"/>
                <w:sz w:val="28"/>
                <w:szCs w:val="28"/>
              </w:rPr>
            </w:pPr>
            <w:r>
              <w:rPr>
                <w:rFonts w:hint="eastAsia" w:ascii="仿宋_GB2312" w:eastAsia="仿宋_GB2312"/>
                <w:color w:val="000000"/>
                <w:sz w:val="28"/>
                <w:szCs w:val="28"/>
              </w:rPr>
              <w:t>国际货币新格局与大湾区跨境金融</w:t>
            </w:r>
          </w:p>
        </w:tc>
        <w:tc>
          <w:tcPr>
            <w:tcW w:w="4746" w:type="dxa"/>
            <w:tcBorders>
              <w:top w:val="nil"/>
              <w:left w:val="nil"/>
              <w:bottom w:val="single" w:color="auto" w:sz="4" w:space="0"/>
              <w:right w:val="single" w:color="auto" w:sz="4" w:space="0"/>
            </w:tcBorders>
            <w:shd w:val="clear" w:color="auto" w:fill="auto"/>
          </w:tcPr>
          <w:p>
            <w:pPr>
              <w:pStyle w:val="19"/>
              <w:spacing w:line="560" w:lineRule="exact"/>
              <w:ind w:firstLine="540"/>
              <w:rPr>
                <w:rFonts w:ascii="仿宋_GB2312" w:eastAsia="仿宋_GB2312"/>
                <w:sz w:val="28"/>
                <w:szCs w:val="28"/>
              </w:rPr>
            </w:pPr>
            <w:r>
              <w:rPr>
                <w:rFonts w:hint="eastAsia" w:ascii="仿宋_GB2312" w:eastAsia="仿宋_GB2312"/>
                <w:b/>
                <w:bCs/>
                <w:color w:val="000000"/>
                <w:sz w:val="28"/>
                <w:szCs w:val="28"/>
              </w:rPr>
              <w:t>向松祚</w:t>
            </w:r>
            <w:r>
              <w:rPr>
                <w:rFonts w:hint="eastAsia" w:ascii="仿宋_GB2312" w:eastAsia="仿宋_GB2312"/>
                <w:color w:val="000000"/>
                <w:sz w:val="28"/>
                <w:szCs w:val="28"/>
              </w:rPr>
              <w:t>，著名经济学家，中国农业银行前首席经济学家。 现任深圳市大湾区金融研究院院长。中国人民大学国际货币研究所主要创办人、理事兼副所长</w:t>
            </w:r>
            <w:r>
              <w:rPr>
                <w:rFonts w:hint="eastAsia" w:ascii="仿宋_GB2312" w:eastAsia="仿宋_GB2312"/>
                <w:color w:val="000000"/>
                <w:sz w:val="28"/>
                <w:szCs w:val="28"/>
                <w:lang w:eastAsia="zh-CN"/>
              </w:rPr>
              <w:t>，</w:t>
            </w:r>
            <w:r>
              <w:rPr>
                <w:rFonts w:hint="eastAsia" w:ascii="仿宋_GB2312" w:eastAsia="仿宋_GB2312"/>
                <w:color w:val="000000"/>
                <w:sz w:val="28"/>
                <w:szCs w:val="28"/>
              </w:rPr>
              <w:t>主要著作有：《新经济学》，《新资本论》，《蒙代尔经济学文集》等等。</w:t>
            </w:r>
          </w:p>
        </w:tc>
      </w:tr>
      <w:tr>
        <w:tblPrEx>
          <w:tblCellMar>
            <w:top w:w="0" w:type="dxa"/>
            <w:left w:w="108" w:type="dxa"/>
            <w:bottom w:w="0" w:type="dxa"/>
            <w:right w:w="108" w:type="dxa"/>
          </w:tblCellMar>
        </w:tblPrEx>
        <w:trPr>
          <w:trHeight w:val="56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1342"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28"/>
                <w:szCs w:val="28"/>
              </w:rPr>
            </w:pPr>
          </w:p>
        </w:tc>
        <w:tc>
          <w:tcPr>
            <w:tcW w:w="1393" w:type="dxa"/>
            <w:tcBorders>
              <w:top w:val="nil"/>
              <w:left w:val="nil"/>
              <w:bottom w:val="single" w:color="auto" w:sz="4" w:space="0"/>
              <w:right w:val="single" w:color="auto" w:sz="4" w:space="0"/>
            </w:tcBorders>
            <w:shd w:val="clear" w:color="auto" w:fill="auto"/>
            <w:vAlign w:val="center"/>
          </w:tcPr>
          <w:p>
            <w:pPr>
              <w:pStyle w:val="19"/>
              <w:spacing w:after="300" w:line="560" w:lineRule="exact"/>
              <w:jc w:val="center"/>
              <w:rPr>
                <w:rFonts w:ascii="仿宋_GB2312" w:eastAsia="仿宋_GB2312"/>
                <w:sz w:val="28"/>
                <w:szCs w:val="28"/>
              </w:rPr>
            </w:pPr>
            <w:r>
              <w:rPr>
                <w:rFonts w:hint="eastAsia" w:ascii="仿宋_GB2312" w:eastAsia="仿宋_GB2312"/>
                <w:color w:val="000000"/>
                <w:sz w:val="28"/>
                <w:szCs w:val="28"/>
              </w:rPr>
              <w:t>国际高标准贸易规则与跨境金融</w:t>
            </w:r>
          </w:p>
        </w:tc>
        <w:tc>
          <w:tcPr>
            <w:tcW w:w="4746" w:type="dxa"/>
            <w:tcBorders>
              <w:top w:val="nil"/>
              <w:left w:val="nil"/>
              <w:bottom w:val="single" w:color="auto" w:sz="4" w:space="0"/>
              <w:right w:val="single" w:color="auto" w:sz="4" w:space="0"/>
            </w:tcBorders>
            <w:shd w:val="clear" w:color="auto" w:fill="auto"/>
            <w:vAlign w:val="center"/>
          </w:tcPr>
          <w:p>
            <w:pPr>
              <w:pStyle w:val="19"/>
              <w:spacing w:line="560" w:lineRule="exact"/>
              <w:ind w:firstLine="520"/>
              <w:rPr>
                <w:rFonts w:ascii="仿宋_GB2312" w:eastAsia="仿宋_GB2312"/>
                <w:sz w:val="28"/>
                <w:szCs w:val="28"/>
              </w:rPr>
            </w:pPr>
            <w:r>
              <w:rPr>
                <w:rFonts w:hint="eastAsia" w:ascii="仿宋_GB2312" w:eastAsia="仿宋_GB2312"/>
                <w:b/>
                <w:bCs/>
                <w:color w:val="000000"/>
                <w:sz w:val="28"/>
                <w:szCs w:val="28"/>
              </w:rPr>
              <w:t>崔凡</w:t>
            </w:r>
            <w:r>
              <w:rPr>
                <w:rFonts w:hint="eastAsia" w:ascii="仿宋_GB2312" w:eastAsia="仿宋_GB2312"/>
                <w:color w:val="000000"/>
                <w:sz w:val="28"/>
                <w:szCs w:val="28"/>
              </w:rPr>
              <w:t>，中国世界贸易组织研究会常务理事、副秘书长、研究部主任。商务部经贸政策咨询委员会全球价值链专家组专家。</w:t>
            </w:r>
          </w:p>
        </w:tc>
      </w:tr>
      <w:tr>
        <w:tblPrEx>
          <w:tblCellMar>
            <w:top w:w="0" w:type="dxa"/>
            <w:left w:w="108" w:type="dxa"/>
            <w:bottom w:w="0" w:type="dxa"/>
            <w:right w:w="108" w:type="dxa"/>
          </w:tblCellMar>
        </w:tblPrEx>
        <w:trPr>
          <w:trHeight w:val="56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1342"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28"/>
                <w:szCs w:val="28"/>
              </w:rPr>
            </w:pPr>
          </w:p>
        </w:tc>
        <w:tc>
          <w:tcPr>
            <w:tcW w:w="1393" w:type="dxa"/>
            <w:tcBorders>
              <w:top w:val="nil"/>
              <w:left w:val="nil"/>
              <w:bottom w:val="single" w:color="auto" w:sz="4" w:space="0"/>
              <w:right w:val="single" w:color="auto" w:sz="4" w:space="0"/>
            </w:tcBorders>
            <w:shd w:val="clear" w:color="auto" w:fill="auto"/>
            <w:vAlign w:val="center"/>
          </w:tcPr>
          <w:p>
            <w:pPr>
              <w:pStyle w:val="19"/>
              <w:spacing w:before="260" w:after="320" w:line="560" w:lineRule="exact"/>
              <w:jc w:val="center"/>
              <w:rPr>
                <w:rFonts w:ascii="仿宋_GB2312" w:eastAsia="仿宋_GB2312"/>
                <w:sz w:val="28"/>
                <w:szCs w:val="28"/>
              </w:rPr>
            </w:pPr>
            <w:r>
              <w:rPr>
                <w:rFonts w:hint="eastAsia" w:ascii="仿宋_GB2312" w:eastAsia="仿宋_GB2312"/>
                <w:color w:val="000000"/>
                <w:sz w:val="28"/>
                <w:szCs w:val="28"/>
              </w:rPr>
              <w:t>金融科技赋能银保监高质量发展</w:t>
            </w:r>
          </w:p>
        </w:tc>
        <w:tc>
          <w:tcPr>
            <w:tcW w:w="4746" w:type="dxa"/>
            <w:tcBorders>
              <w:top w:val="nil"/>
              <w:left w:val="nil"/>
              <w:bottom w:val="single" w:color="auto" w:sz="4" w:space="0"/>
              <w:right w:val="single" w:color="auto" w:sz="4" w:space="0"/>
            </w:tcBorders>
            <w:shd w:val="clear" w:color="auto" w:fill="auto"/>
            <w:vAlign w:val="center"/>
          </w:tcPr>
          <w:p>
            <w:pPr>
              <w:pStyle w:val="19"/>
              <w:spacing w:line="560" w:lineRule="exact"/>
              <w:ind w:firstLine="562" w:firstLineChars="200"/>
              <w:rPr>
                <w:rFonts w:ascii="仿宋_GB2312" w:eastAsia="仿宋_GB2312"/>
                <w:sz w:val="28"/>
                <w:szCs w:val="28"/>
              </w:rPr>
            </w:pPr>
            <w:r>
              <w:rPr>
                <w:rFonts w:hint="eastAsia" w:ascii="仿宋_GB2312" w:eastAsia="仿宋_GB2312"/>
                <w:b/>
                <w:bCs/>
                <w:color w:val="000000"/>
                <w:sz w:val="28"/>
                <w:szCs w:val="28"/>
              </w:rPr>
              <w:t>于学军</w:t>
            </w:r>
            <w:r>
              <w:rPr>
                <w:rFonts w:hint="eastAsia" w:ascii="仿宋_GB2312" w:eastAsia="仿宋_GB2312"/>
                <w:color w:val="000000"/>
                <w:sz w:val="28"/>
                <w:szCs w:val="28"/>
              </w:rPr>
              <w:t>，原银保监会国有大型金融机构监事会主席，曾任中国人民银行深圳分行调查统计处处长、中国人民银行深圳分行办公室主任、中国人民银行深圳分行副行长、深圳银监局党委书记、局长、江苏银监局党委书记、局长，南京财经大学金融学 院名誉院长、国有重点金融机构监事会主席。</w:t>
            </w:r>
          </w:p>
        </w:tc>
      </w:tr>
      <w:tr>
        <w:tblPrEx>
          <w:tblCellMar>
            <w:top w:w="0" w:type="dxa"/>
            <w:left w:w="108" w:type="dxa"/>
            <w:bottom w:w="0" w:type="dxa"/>
            <w:right w:w="108" w:type="dxa"/>
          </w:tblCellMar>
        </w:tblPrEx>
        <w:trPr>
          <w:trHeight w:val="56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1342"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28"/>
                <w:szCs w:val="28"/>
              </w:rPr>
            </w:pPr>
          </w:p>
        </w:tc>
        <w:tc>
          <w:tcPr>
            <w:tcW w:w="1393" w:type="dxa"/>
            <w:tcBorders>
              <w:top w:val="nil"/>
              <w:left w:val="nil"/>
              <w:bottom w:val="single" w:color="auto" w:sz="4" w:space="0"/>
              <w:right w:val="single" w:color="auto" w:sz="4" w:space="0"/>
            </w:tcBorders>
            <w:shd w:val="clear" w:color="auto" w:fill="auto"/>
            <w:vAlign w:val="center"/>
          </w:tcPr>
          <w:p>
            <w:pPr>
              <w:pStyle w:val="19"/>
              <w:spacing w:after="300" w:line="560" w:lineRule="exact"/>
              <w:jc w:val="center"/>
              <w:rPr>
                <w:rFonts w:ascii="仿宋_GB2312" w:eastAsia="仿宋_GB2312"/>
                <w:color w:val="000000"/>
                <w:sz w:val="28"/>
                <w:szCs w:val="28"/>
              </w:rPr>
            </w:pPr>
            <w:r>
              <w:rPr>
                <w:rFonts w:hint="eastAsia" w:ascii="仿宋_GB2312" w:eastAsia="仿宋_GB2312"/>
                <w:color w:val="000000"/>
                <w:sz w:val="28"/>
                <w:szCs w:val="28"/>
              </w:rPr>
              <w:t>金融数据基础设施的监管与合规</w:t>
            </w:r>
          </w:p>
        </w:tc>
        <w:tc>
          <w:tcPr>
            <w:tcW w:w="4746" w:type="dxa"/>
            <w:tcBorders>
              <w:top w:val="nil"/>
              <w:left w:val="nil"/>
              <w:bottom w:val="single" w:color="auto" w:sz="4" w:space="0"/>
              <w:right w:val="single" w:color="auto" w:sz="4" w:space="0"/>
            </w:tcBorders>
            <w:shd w:val="clear" w:color="auto" w:fill="auto"/>
            <w:vAlign w:val="center"/>
          </w:tcPr>
          <w:p>
            <w:pPr>
              <w:pStyle w:val="19"/>
              <w:spacing w:line="560" w:lineRule="exact"/>
              <w:ind w:firstLine="562" w:firstLineChars="200"/>
              <w:jc w:val="left"/>
              <w:rPr>
                <w:rFonts w:ascii="仿宋_GB2312" w:eastAsia="仿宋_GB2312"/>
                <w:strike/>
                <w:color w:val="000000"/>
                <w:sz w:val="28"/>
                <w:szCs w:val="28"/>
                <w:lang w:val="en-US"/>
              </w:rPr>
            </w:pPr>
            <w:r>
              <w:rPr>
                <w:rFonts w:hint="eastAsia" w:ascii="仿宋_GB2312" w:eastAsia="仿宋_GB2312"/>
                <w:b/>
                <w:bCs/>
                <w:sz w:val="28"/>
                <w:szCs w:val="28"/>
              </w:rPr>
              <w:t>谌鹏</w:t>
            </w:r>
            <w:r>
              <w:rPr>
                <w:rFonts w:hint="eastAsia" w:ascii="仿宋_GB2312" w:eastAsia="仿宋_GB2312"/>
                <w:color w:val="000000"/>
                <w:sz w:val="28"/>
                <w:szCs w:val="28"/>
              </w:rPr>
              <w:t>，现任深圳市大湾区金融研究院执行院长（首席研究员），深圳市智库联盟副理事长，深圳市决策咨询委员会委员，福建自贸区等多个自贸区咨询委员会委员。</w:t>
            </w:r>
          </w:p>
        </w:tc>
      </w:tr>
      <w:tr>
        <w:tblPrEx>
          <w:tblCellMar>
            <w:top w:w="0" w:type="dxa"/>
            <w:left w:w="108" w:type="dxa"/>
            <w:bottom w:w="0" w:type="dxa"/>
            <w:right w:w="108" w:type="dxa"/>
          </w:tblCellMar>
        </w:tblPrEx>
        <w:trPr>
          <w:trHeight w:val="56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w:t>
            </w:r>
          </w:p>
        </w:tc>
        <w:tc>
          <w:tcPr>
            <w:tcW w:w="1342"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28"/>
                <w:szCs w:val="28"/>
              </w:rPr>
            </w:pPr>
          </w:p>
        </w:tc>
        <w:tc>
          <w:tcPr>
            <w:tcW w:w="1393" w:type="dxa"/>
            <w:tcBorders>
              <w:top w:val="nil"/>
              <w:left w:val="nil"/>
              <w:bottom w:val="single" w:color="auto" w:sz="4" w:space="0"/>
              <w:right w:val="single" w:color="auto" w:sz="4" w:space="0"/>
            </w:tcBorders>
            <w:shd w:val="clear" w:color="auto" w:fill="auto"/>
            <w:vAlign w:val="center"/>
          </w:tcPr>
          <w:p>
            <w:pPr>
              <w:pStyle w:val="19"/>
              <w:spacing w:after="300" w:line="560" w:lineRule="exact"/>
              <w:jc w:val="center"/>
              <w:rPr>
                <w:rFonts w:ascii="仿宋_GB2312" w:eastAsia="PMingLiU"/>
                <w:sz w:val="28"/>
                <w:szCs w:val="28"/>
              </w:rPr>
            </w:pPr>
            <w:r>
              <w:rPr>
                <w:rFonts w:hint="eastAsia" w:ascii="仿宋_GB2312" w:eastAsia="仿宋_GB2312"/>
                <w:color w:val="000000"/>
                <w:sz w:val="28"/>
                <w:szCs w:val="28"/>
              </w:rPr>
              <w:t>大湾区跨境金融协作机制</w:t>
            </w:r>
          </w:p>
        </w:tc>
        <w:tc>
          <w:tcPr>
            <w:tcW w:w="4746" w:type="dxa"/>
            <w:tcBorders>
              <w:top w:val="nil"/>
              <w:left w:val="nil"/>
              <w:bottom w:val="single" w:color="auto" w:sz="4" w:space="0"/>
              <w:right w:val="single" w:color="auto" w:sz="4" w:space="0"/>
            </w:tcBorders>
            <w:shd w:val="clear" w:color="auto" w:fill="auto"/>
            <w:vAlign w:val="center"/>
          </w:tcPr>
          <w:p>
            <w:pPr>
              <w:pStyle w:val="19"/>
              <w:spacing w:line="560" w:lineRule="exact"/>
              <w:ind w:firstLine="562" w:firstLineChars="200"/>
              <w:rPr>
                <w:rFonts w:ascii="仿宋_GB2312" w:eastAsia="仿宋_GB2312"/>
                <w:sz w:val="28"/>
                <w:szCs w:val="28"/>
                <w:lang w:eastAsia="zh-CN"/>
              </w:rPr>
            </w:pPr>
            <w:r>
              <w:rPr>
                <w:rFonts w:hint="eastAsia" w:ascii="仿宋_GB2312" w:eastAsia="仿宋_GB2312"/>
                <w:b/>
                <w:bCs/>
                <w:color w:val="000000"/>
                <w:sz w:val="28"/>
                <w:szCs w:val="28"/>
              </w:rPr>
              <w:t>宋海</w:t>
            </w:r>
            <w:r>
              <w:rPr>
                <w:rFonts w:hint="eastAsia" w:ascii="仿宋_GB2312" w:eastAsia="仿宋_GB2312"/>
                <w:color w:val="000000"/>
                <w:sz w:val="28"/>
                <w:szCs w:val="28"/>
              </w:rPr>
              <w:t>，现任全国政协常委；曾任十二届全国政协副秘书长，民建中央专职副主席，广东省人民政府副省长</w:t>
            </w:r>
            <w:r>
              <w:rPr>
                <w:rFonts w:hint="eastAsia" w:ascii="仿宋_GB2312" w:eastAsia="仿宋_GB2312"/>
                <w:color w:val="000000"/>
                <w:sz w:val="28"/>
                <w:szCs w:val="28"/>
                <w:lang w:eastAsia="zh-CN"/>
              </w:rPr>
              <w:t>。</w:t>
            </w:r>
          </w:p>
        </w:tc>
      </w:tr>
      <w:tr>
        <w:tblPrEx>
          <w:tblCellMar>
            <w:top w:w="0" w:type="dxa"/>
            <w:left w:w="108" w:type="dxa"/>
            <w:bottom w:w="0" w:type="dxa"/>
            <w:right w:w="108" w:type="dxa"/>
          </w:tblCellMar>
        </w:tblPrEx>
        <w:trPr>
          <w:trHeight w:val="56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w:t>
            </w:r>
          </w:p>
        </w:tc>
        <w:tc>
          <w:tcPr>
            <w:tcW w:w="1342" w:type="dxa"/>
            <w:vMerge w:val="continue"/>
            <w:tcBorders>
              <w:left w:val="single" w:color="auto" w:sz="4" w:space="0"/>
              <w:bottom w:val="single" w:color="000000"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28"/>
                <w:szCs w:val="28"/>
              </w:rPr>
            </w:pPr>
          </w:p>
        </w:tc>
        <w:tc>
          <w:tcPr>
            <w:tcW w:w="1393" w:type="dxa"/>
            <w:tcBorders>
              <w:top w:val="nil"/>
              <w:left w:val="nil"/>
              <w:bottom w:val="single" w:color="auto" w:sz="4" w:space="0"/>
              <w:right w:val="single" w:color="auto" w:sz="4" w:space="0"/>
            </w:tcBorders>
            <w:shd w:val="clear" w:color="auto" w:fill="auto"/>
            <w:vAlign w:val="center"/>
          </w:tcPr>
          <w:p>
            <w:pPr>
              <w:pStyle w:val="19"/>
              <w:spacing w:after="300" w:line="560" w:lineRule="exact"/>
              <w:jc w:val="center"/>
              <w:rPr>
                <w:rFonts w:ascii="仿宋_GB2312" w:eastAsia="仿宋_GB2312"/>
                <w:color w:val="000000"/>
                <w:sz w:val="28"/>
                <w:szCs w:val="28"/>
              </w:rPr>
            </w:pPr>
            <w:r>
              <w:rPr>
                <w:rFonts w:hint="eastAsia" w:ascii="仿宋_GB2312" w:eastAsia="仿宋_GB2312"/>
                <w:sz w:val="28"/>
                <w:szCs w:val="28"/>
              </w:rPr>
              <w:t>粤港澳大湾区金融高质量发展</w:t>
            </w:r>
          </w:p>
        </w:tc>
        <w:tc>
          <w:tcPr>
            <w:tcW w:w="4746" w:type="dxa"/>
            <w:tcBorders>
              <w:top w:val="nil"/>
              <w:left w:val="nil"/>
              <w:bottom w:val="single" w:color="auto" w:sz="4" w:space="0"/>
              <w:right w:val="single" w:color="auto" w:sz="4" w:space="0"/>
            </w:tcBorders>
            <w:shd w:val="clear" w:color="auto" w:fill="auto"/>
          </w:tcPr>
          <w:p>
            <w:pPr>
              <w:pStyle w:val="19"/>
              <w:spacing w:line="560" w:lineRule="exact"/>
              <w:ind w:firstLine="562" w:firstLineChars="200"/>
              <w:jc w:val="left"/>
              <w:rPr>
                <w:rFonts w:ascii="仿宋_GB2312" w:eastAsia="仿宋_GB2312"/>
                <w:b/>
                <w:bCs/>
                <w:color w:val="000000"/>
                <w:sz w:val="28"/>
                <w:szCs w:val="28"/>
              </w:rPr>
            </w:pPr>
            <w:r>
              <w:rPr>
                <w:rFonts w:hint="eastAsia" w:ascii="仿宋_GB2312" w:eastAsia="仿宋_GB2312"/>
                <w:b/>
                <w:bCs/>
                <w:sz w:val="28"/>
                <w:szCs w:val="28"/>
              </w:rPr>
              <w:t>廖群</w:t>
            </w:r>
            <w:r>
              <w:rPr>
                <w:rFonts w:hint="eastAsia" w:ascii="仿宋_GB2312" w:eastAsia="仿宋_GB2312"/>
                <w:sz w:val="28"/>
                <w:szCs w:val="28"/>
              </w:rPr>
              <w:t>，中国首席经济学家论坛理事、中信银行（国际）首席经济学家。</w:t>
            </w:r>
          </w:p>
        </w:tc>
      </w:tr>
      <w:tr>
        <w:tblPrEx>
          <w:tblCellMar>
            <w:top w:w="0" w:type="dxa"/>
            <w:left w:w="108" w:type="dxa"/>
            <w:bottom w:w="0" w:type="dxa"/>
            <w:right w:w="108" w:type="dxa"/>
          </w:tblCellMar>
        </w:tblPrEx>
        <w:trPr>
          <w:trHeight w:val="56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w:t>
            </w:r>
          </w:p>
        </w:tc>
        <w:tc>
          <w:tcPr>
            <w:tcW w:w="1342" w:type="dxa"/>
            <w:vMerge w:val="restart"/>
            <w:tcBorders>
              <w:top w:val="nil"/>
              <w:left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主题论坛</w:t>
            </w:r>
          </w:p>
        </w:tc>
        <w:tc>
          <w:tcPr>
            <w:tcW w:w="1393" w:type="dxa"/>
            <w:tcBorders>
              <w:top w:val="nil"/>
              <w:left w:val="nil"/>
              <w:bottom w:val="single" w:color="auto" w:sz="4" w:space="0"/>
              <w:right w:val="single" w:color="auto" w:sz="4" w:space="0"/>
            </w:tcBorders>
            <w:shd w:val="clear" w:color="auto" w:fill="auto"/>
            <w:vAlign w:val="center"/>
          </w:tcPr>
          <w:p>
            <w:pPr>
              <w:pStyle w:val="19"/>
              <w:spacing w:line="560" w:lineRule="exact"/>
              <w:jc w:val="center"/>
              <w:rPr>
                <w:rFonts w:ascii="仿宋_GB2312" w:eastAsia="仿宋_GB2312"/>
                <w:sz w:val="28"/>
                <w:szCs w:val="28"/>
              </w:rPr>
            </w:pPr>
            <w:r>
              <w:rPr>
                <w:rFonts w:hint="eastAsia" w:ascii="仿宋_GB2312" w:eastAsia="仿宋_GB2312"/>
                <w:color w:val="000000"/>
                <w:sz w:val="28"/>
                <w:szCs w:val="28"/>
              </w:rPr>
              <w:t>主题论坛：俄乌战争对大湾区金融合作与安全的反思</w:t>
            </w:r>
          </w:p>
        </w:tc>
        <w:tc>
          <w:tcPr>
            <w:tcW w:w="4746" w:type="dxa"/>
            <w:tcBorders>
              <w:top w:val="nil"/>
              <w:left w:val="nil"/>
              <w:bottom w:val="single" w:color="auto" w:sz="4" w:space="0"/>
              <w:right w:val="single" w:color="auto" w:sz="4" w:space="0"/>
            </w:tcBorders>
            <w:shd w:val="clear" w:color="auto" w:fill="auto"/>
          </w:tcPr>
          <w:p>
            <w:pPr>
              <w:pStyle w:val="19"/>
              <w:spacing w:after="60" w:line="560" w:lineRule="exact"/>
              <w:jc w:val="left"/>
              <w:rPr>
                <w:rFonts w:ascii="仿宋_GB2312" w:eastAsia="仿宋_GB2312"/>
                <w:color w:val="000000"/>
                <w:sz w:val="28"/>
                <w:szCs w:val="28"/>
              </w:rPr>
            </w:pPr>
            <w:r>
              <w:rPr>
                <w:rFonts w:hint="eastAsia" w:ascii="仿宋_GB2312" w:eastAsia="仿宋_GB2312"/>
                <w:color w:val="000000"/>
                <w:sz w:val="28"/>
                <w:szCs w:val="28"/>
              </w:rPr>
              <w:t>嘉宾</w:t>
            </w:r>
            <w:r>
              <w:rPr>
                <w:rFonts w:hint="eastAsia" w:ascii="仿宋_GB2312" w:eastAsia="仿宋_GB2312"/>
                <w:color w:val="000000"/>
                <w:sz w:val="28"/>
                <w:szCs w:val="28"/>
                <w:lang w:eastAsia="zh-CN"/>
              </w:rPr>
              <w:t>1</w:t>
            </w:r>
            <w:r>
              <w:rPr>
                <w:rFonts w:hint="eastAsia" w:ascii="仿宋_GB2312" w:eastAsia="仿宋_GB2312"/>
                <w:color w:val="000000"/>
                <w:sz w:val="28"/>
                <w:szCs w:val="28"/>
              </w:rPr>
              <w:t>:向松祚；</w:t>
            </w:r>
          </w:p>
          <w:p>
            <w:pPr>
              <w:pStyle w:val="19"/>
              <w:spacing w:after="60" w:line="560" w:lineRule="exact"/>
              <w:jc w:val="left"/>
              <w:rPr>
                <w:rFonts w:ascii="仿宋_GB2312" w:eastAsia="仿宋_GB2312"/>
                <w:sz w:val="28"/>
                <w:szCs w:val="28"/>
              </w:rPr>
            </w:pPr>
            <w:r>
              <w:rPr>
                <w:rFonts w:hint="eastAsia" w:ascii="仿宋_GB2312" w:eastAsia="仿宋_GB2312"/>
                <w:color w:val="000000"/>
                <w:sz w:val="28"/>
                <w:szCs w:val="28"/>
              </w:rPr>
              <w:t>嘉宾</w:t>
            </w:r>
            <w:r>
              <w:rPr>
                <w:rFonts w:hint="eastAsia" w:ascii="仿宋_GB2312" w:eastAsia="仿宋_GB2312"/>
                <w:color w:val="000000"/>
                <w:sz w:val="28"/>
                <w:szCs w:val="28"/>
                <w:lang w:eastAsia="zh-CN"/>
              </w:rPr>
              <w:t>2</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崔凡</w:t>
            </w:r>
            <w:r>
              <w:rPr>
                <w:rFonts w:hint="eastAsia" w:ascii="仿宋_GB2312" w:eastAsia="仿宋_GB2312"/>
                <w:color w:val="000000"/>
                <w:sz w:val="28"/>
                <w:szCs w:val="28"/>
              </w:rPr>
              <w:t>；</w:t>
            </w:r>
          </w:p>
          <w:p>
            <w:pPr>
              <w:pStyle w:val="19"/>
              <w:spacing w:after="60" w:line="560" w:lineRule="exact"/>
              <w:jc w:val="left"/>
              <w:rPr>
                <w:rFonts w:ascii="仿宋_GB2312" w:eastAsia="仿宋_GB2312"/>
                <w:b/>
                <w:bCs/>
                <w:color w:val="000000"/>
                <w:sz w:val="28"/>
                <w:szCs w:val="28"/>
              </w:rPr>
            </w:pPr>
            <w:r>
              <w:rPr>
                <w:rFonts w:hint="eastAsia" w:ascii="仿宋_GB2312" w:eastAsia="仿宋_GB2312"/>
                <w:color w:val="000000"/>
                <w:sz w:val="28"/>
                <w:szCs w:val="28"/>
              </w:rPr>
              <w:t>嘉宾</w:t>
            </w:r>
            <w:r>
              <w:rPr>
                <w:rFonts w:hint="eastAsia" w:ascii="仿宋_GB2312" w:eastAsia="仿宋_GB2312"/>
                <w:color w:val="000000"/>
                <w:sz w:val="28"/>
                <w:szCs w:val="28"/>
                <w:lang w:eastAsia="zh-CN"/>
              </w:rPr>
              <w:t>3</w:t>
            </w:r>
            <w:r>
              <w:rPr>
                <w:rFonts w:hint="eastAsia" w:ascii="仿宋_GB2312" w:eastAsia="仿宋_GB2312"/>
                <w:color w:val="000000"/>
                <w:sz w:val="28"/>
                <w:szCs w:val="28"/>
              </w:rPr>
              <w:t>：廖群</w:t>
            </w:r>
          </w:p>
        </w:tc>
      </w:tr>
      <w:tr>
        <w:tblPrEx>
          <w:tblCellMar>
            <w:top w:w="0" w:type="dxa"/>
            <w:left w:w="108" w:type="dxa"/>
            <w:bottom w:w="0" w:type="dxa"/>
            <w:right w:w="108" w:type="dxa"/>
          </w:tblCellMar>
        </w:tblPrEx>
        <w:trPr>
          <w:trHeight w:val="56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1342" w:type="dxa"/>
            <w:vMerge w:val="continue"/>
            <w:tcBorders>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b/>
                <w:bCs/>
                <w:color w:val="000000"/>
                <w:kern w:val="0"/>
                <w:sz w:val="28"/>
                <w:szCs w:val="2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after="320" w:line="560" w:lineRule="exact"/>
              <w:jc w:val="center"/>
              <w:rPr>
                <w:rFonts w:ascii="仿宋_GB2312" w:eastAsia="仿宋_GB2312"/>
                <w:sz w:val="28"/>
                <w:szCs w:val="28"/>
              </w:rPr>
            </w:pPr>
            <w:r>
              <w:rPr>
                <w:rFonts w:hint="eastAsia" w:ascii="仿宋_GB2312" w:eastAsia="仿宋_GB2312"/>
                <w:color w:val="000000"/>
                <w:sz w:val="28"/>
                <w:szCs w:val="28"/>
              </w:rPr>
              <w:t>论坛主题：全球金融监管态势</w:t>
            </w:r>
          </w:p>
        </w:tc>
        <w:tc>
          <w:tcPr>
            <w:tcW w:w="47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560" w:lineRule="exact"/>
              <w:rPr>
                <w:rFonts w:ascii="仿宋_GB2312" w:eastAsia="仿宋_GB2312"/>
                <w:sz w:val="28"/>
                <w:szCs w:val="28"/>
              </w:rPr>
            </w:pPr>
            <w:r>
              <w:rPr>
                <w:rFonts w:hint="eastAsia" w:ascii="仿宋_GB2312" w:eastAsia="仿宋_GB2312"/>
                <w:color w:val="000000"/>
                <w:sz w:val="28"/>
                <w:szCs w:val="28"/>
              </w:rPr>
              <w:t>嘉宾1：于学军；</w:t>
            </w:r>
          </w:p>
          <w:p>
            <w:pPr>
              <w:pStyle w:val="19"/>
              <w:spacing w:line="560" w:lineRule="exact"/>
              <w:jc w:val="left"/>
              <w:rPr>
                <w:rFonts w:ascii="仿宋_GB2312" w:eastAsia="仿宋_GB2312"/>
                <w:sz w:val="28"/>
                <w:szCs w:val="28"/>
              </w:rPr>
            </w:pPr>
            <w:r>
              <w:rPr>
                <w:rFonts w:hint="eastAsia" w:ascii="仿宋_GB2312" w:eastAsia="仿宋_GB2312"/>
                <w:color w:val="000000"/>
                <w:sz w:val="28"/>
                <w:szCs w:val="28"/>
              </w:rPr>
              <w:t>嘉宾2：</w:t>
            </w:r>
            <w:r>
              <w:rPr>
                <w:rFonts w:hint="eastAsia" w:ascii="仿宋_GB2312" w:eastAsia="仿宋_GB2312"/>
                <w:color w:val="000000"/>
                <w:sz w:val="28"/>
                <w:szCs w:val="28"/>
                <w:lang w:eastAsia="zh-CN"/>
              </w:rPr>
              <w:t>谌鹏</w:t>
            </w:r>
            <w:r>
              <w:rPr>
                <w:rFonts w:hint="eastAsia" w:ascii="仿宋_GB2312" w:eastAsia="仿宋_GB2312"/>
                <w:color w:val="000000"/>
                <w:sz w:val="28"/>
                <w:szCs w:val="28"/>
              </w:rPr>
              <w:t>；</w:t>
            </w:r>
          </w:p>
          <w:p>
            <w:pPr>
              <w:pStyle w:val="19"/>
              <w:spacing w:line="560" w:lineRule="exact"/>
              <w:rPr>
                <w:rFonts w:ascii="仿宋_GB2312" w:eastAsia="仿宋_GB2312"/>
                <w:b/>
                <w:bCs/>
                <w:color w:val="000000"/>
                <w:sz w:val="28"/>
                <w:szCs w:val="28"/>
              </w:rPr>
            </w:pPr>
            <w:r>
              <w:rPr>
                <w:rFonts w:hint="eastAsia" w:ascii="仿宋_GB2312" w:eastAsia="仿宋_GB2312"/>
                <w:color w:val="000000"/>
                <w:sz w:val="28"/>
                <w:szCs w:val="28"/>
              </w:rPr>
              <w:t>嘉宾3：现任中国人民大学副校长，金融与证券研究所所长</w:t>
            </w:r>
            <w:r>
              <w:rPr>
                <w:rFonts w:hint="eastAsia" w:ascii="仿宋_GB2312" w:eastAsia="仿宋_GB2312"/>
                <w:b/>
                <w:bCs/>
                <w:color w:val="000000"/>
                <w:sz w:val="28"/>
                <w:szCs w:val="28"/>
              </w:rPr>
              <w:t>吴晓求</w:t>
            </w:r>
          </w:p>
        </w:tc>
      </w:tr>
      <w:tr>
        <w:tblPrEx>
          <w:tblCellMar>
            <w:top w:w="0" w:type="dxa"/>
            <w:left w:w="108" w:type="dxa"/>
            <w:bottom w:w="0" w:type="dxa"/>
            <w:right w:w="108" w:type="dxa"/>
          </w:tblCellMar>
        </w:tblPrEx>
        <w:trPr>
          <w:trHeight w:val="56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标杆考察</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560" w:lineRule="exact"/>
              <w:jc w:val="center"/>
              <w:rPr>
                <w:rFonts w:ascii="仿宋_GB2312" w:eastAsia="仿宋_GB2312"/>
                <w:sz w:val="28"/>
                <w:szCs w:val="28"/>
              </w:rPr>
            </w:pPr>
            <w:r>
              <w:rPr>
                <w:rFonts w:hint="eastAsia" w:ascii="仿宋_GB2312" w:eastAsia="仿宋_GB2312"/>
                <w:color w:val="000000"/>
                <w:sz w:val="28"/>
                <w:szCs w:val="28"/>
              </w:rPr>
              <w:t>走访企业</w:t>
            </w:r>
          </w:p>
        </w:tc>
        <w:tc>
          <w:tcPr>
            <w:tcW w:w="4746" w:type="dxa"/>
            <w:tcBorders>
              <w:top w:val="single" w:color="auto" w:sz="4" w:space="0"/>
              <w:left w:val="single" w:color="auto" w:sz="4" w:space="0"/>
              <w:bottom w:val="single" w:color="auto" w:sz="4" w:space="0"/>
              <w:right w:val="single" w:color="auto" w:sz="4" w:space="0"/>
            </w:tcBorders>
            <w:shd w:val="clear" w:color="auto" w:fill="auto"/>
          </w:tcPr>
          <w:p>
            <w:pPr>
              <w:pStyle w:val="19"/>
              <w:spacing w:line="560" w:lineRule="exact"/>
              <w:jc w:val="left"/>
              <w:rPr>
                <w:rFonts w:ascii="仿宋_GB2312" w:eastAsia="仿宋_GB2312"/>
                <w:sz w:val="28"/>
                <w:szCs w:val="28"/>
              </w:rPr>
            </w:pPr>
            <w:r>
              <w:rPr>
                <w:rFonts w:hint="eastAsia" w:ascii="仿宋_GB2312" w:eastAsia="仿宋_GB2312"/>
                <w:color w:val="000000"/>
                <w:sz w:val="28"/>
                <w:szCs w:val="28"/>
              </w:rPr>
              <w:t>平安集团、腾讯金控等</w:t>
            </w:r>
          </w:p>
        </w:tc>
      </w:tr>
    </w:tbl>
    <w:p>
      <w:pPr>
        <w:spacing w:line="560" w:lineRule="exact"/>
        <w:ind w:firstLine="640" w:firstLineChars="200"/>
        <w:rPr>
          <w:rFonts w:ascii="黑体" w:hAnsi="黑体" w:eastAsia="黑体"/>
          <w:sz w:val="32"/>
          <w:szCs w:val="36"/>
        </w:rPr>
      </w:pPr>
      <w:r>
        <w:rPr>
          <w:rFonts w:hint="eastAsia" w:ascii="黑体" w:hAnsi="黑体" w:eastAsia="黑体"/>
          <w:sz w:val="32"/>
          <w:szCs w:val="36"/>
        </w:rPr>
        <w:t>三、课程学时及时间安排</w:t>
      </w:r>
    </w:p>
    <w:tbl>
      <w:tblPr>
        <w:tblStyle w:val="10"/>
        <w:tblW w:w="8353" w:type="dxa"/>
        <w:tblInd w:w="0" w:type="dxa"/>
        <w:tblLayout w:type="autofit"/>
        <w:tblCellMar>
          <w:top w:w="0" w:type="dxa"/>
          <w:left w:w="108" w:type="dxa"/>
          <w:bottom w:w="0" w:type="dxa"/>
          <w:right w:w="108" w:type="dxa"/>
        </w:tblCellMar>
      </w:tblPr>
      <w:tblGrid>
        <w:gridCol w:w="846"/>
        <w:gridCol w:w="2835"/>
        <w:gridCol w:w="850"/>
        <w:gridCol w:w="1843"/>
        <w:gridCol w:w="1979"/>
      </w:tblGrid>
      <w:tr>
        <w:tblPrEx>
          <w:tblCellMar>
            <w:top w:w="0" w:type="dxa"/>
            <w:left w:w="108" w:type="dxa"/>
            <w:bottom w:w="0" w:type="dxa"/>
            <w:right w:w="108" w:type="dxa"/>
          </w:tblCellMar>
        </w:tblPrEx>
        <w:trPr>
          <w:trHeight w:val="559" w:hRule="atLeast"/>
        </w:trPr>
        <w:tc>
          <w:tcPr>
            <w:tcW w:w="84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line="560" w:lineRule="exact"/>
              <w:jc w:val="center"/>
              <w:rPr>
                <w:rFonts w:ascii="楷体_GB2312" w:hAnsi="黑体" w:eastAsia="楷体_GB2312" w:cs="宋体"/>
                <w:b/>
                <w:bCs/>
                <w:color w:val="000000"/>
                <w:kern w:val="0"/>
                <w:sz w:val="28"/>
                <w:szCs w:val="28"/>
              </w:rPr>
            </w:pPr>
            <w:r>
              <w:rPr>
                <w:rFonts w:hint="eastAsia" w:ascii="楷体_GB2312" w:hAnsi="黑体" w:eastAsia="楷体_GB2312" w:cs="宋体"/>
                <w:b/>
                <w:bCs/>
                <w:color w:val="000000"/>
                <w:kern w:val="0"/>
                <w:sz w:val="28"/>
                <w:szCs w:val="28"/>
              </w:rPr>
              <w:t>序号</w:t>
            </w:r>
          </w:p>
        </w:tc>
        <w:tc>
          <w:tcPr>
            <w:tcW w:w="283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560" w:lineRule="exact"/>
              <w:jc w:val="center"/>
              <w:rPr>
                <w:rFonts w:ascii="楷体_GB2312" w:hAnsi="黑体" w:eastAsia="楷体_GB2312" w:cs="宋体"/>
                <w:b/>
                <w:bCs/>
                <w:color w:val="000000"/>
                <w:kern w:val="0"/>
                <w:sz w:val="28"/>
                <w:szCs w:val="28"/>
              </w:rPr>
            </w:pPr>
            <w:r>
              <w:rPr>
                <w:rFonts w:hint="eastAsia" w:ascii="楷体_GB2312" w:hAnsi="黑体" w:eastAsia="楷体_GB2312" w:cs="宋体"/>
                <w:b/>
                <w:bCs/>
                <w:color w:val="000000"/>
                <w:kern w:val="0"/>
                <w:sz w:val="28"/>
                <w:szCs w:val="28"/>
              </w:rPr>
              <w:t>课程名称</w:t>
            </w:r>
          </w:p>
        </w:tc>
        <w:tc>
          <w:tcPr>
            <w:tcW w:w="85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560" w:lineRule="exact"/>
              <w:jc w:val="center"/>
              <w:rPr>
                <w:rFonts w:ascii="楷体_GB2312" w:hAnsi="黑体" w:eastAsia="楷体_GB2312" w:cs="宋体"/>
                <w:b/>
                <w:bCs/>
                <w:color w:val="000000"/>
                <w:kern w:val="0"/>
                <w:sz w:val="28"/>
                <w:szCs w:val="28"/>
              </w:rPr>
            </w:pPr>
            <w:r>
              <w:rPr>
                <w:rFonts w:hint="eastAsia" w:ascii="楷体_GB2312" w:hAnsi="黑体" w:eastAsia="楷体_GB2312" w:cs="宋体"/>
                <w:b/>
                <w:bCs/>
                <w:color w:val="000000"/>
                <w:kern w:val="0"/>
                <w:sz w:val="28"/>
                <w:szCs w:val="28"/>
              </w:rPr>
              <w:t>学时</w:t>
            </w:r>
          </w:p>
        </w:tc>
        <w:tc>
          <w:tcPr>
            <w:tcW w:w="1843"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560" w:lineRule="exact"/>
              <w:jc w:val="center"/>
              <w:rPr>
                <w:rFonts w:ascii="楷体_GB2312" w:hAnsi="黑体" w:eastAsia="楷体_GB2312" w:cs="宋体"/>
                <w:b/>
                <w:bCs/>
                <w:color w:val="000000"/>
                <w:kern w:val="0"/>
                <w:sz w:val="28"/>
                <w:szCs w:val="28"/>
              </w:rPr>
            </w:pPr>
            <w:r>
              <w:rPr>
                <w:rFonts w:hint="eastAsia" w:ascii="楷体_GB2312" w:hAnsi="黑体" w:eastAsia="楷体_GB2312" w:cs="宋体"/>
                <w:b/>
                <w:bCs/>
                <w:color w:val="000000"/>
                <w:kern w:val="0"/>
                <w:sz w:val="28"/>
                <w:szCs w:val="28"/>
              </w:rPr>
              <w:t>时间安排</w:t>
            </w:r>
          </w:p>
        </w:tc>
        <w:tc>
          <w:tcPr>
            <w:tcW w:w="197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560" w:lineRule="exact"/>
              <w:jc w:val="center"/>
              <w:rPr>
                <w:rFonts w:ascii="楷体_GB2312" w:hAnsi="黑体" w:eastAsia="楷体_GB2312" w:cs="宋体"/>
                <w:b/>
                <w:bCs/>
                <w:color w:val="000000"/>
                <w:kern w:val="0"/>
                <w:sz w:val="28"/>
                <w:szCs w:val="28"/>
              </w:rPr>
            </w:pPr>
            <w:r>
              <w:rPr>
                <w:rFonts w:hint="eastAsia" w:ascii="楷体_GB2312" w:hAnsi="黑体" w:eastAsia="楷体_GB2312" w:cs="宋体"/>
                <w:b/>
                <w:bCs/>
                <w:color w:val="000000"/>
                <w:kern w:val="0"/>
                <w:sz w:val="28"/>
                <w:szCs w:val="28"/>
              </w:rPr>
              <w:t>上课地点</w:t>
            </w:r>
          </w:p>
        </w:tc>
      </w:tr>
      <w:tr>
        <w:tblPrEx>
          <w:tblCellMar>
            <w:top w:w="0" w:type="dxa"/>
            <w:left w:w="108" w:type="dxa"/>
            <w:bottom w:w="0" w:type="dxa"/>
            <w:right w:w="108" w:type="dxa"/>
          </w:tblCellMar>
        </w:tblPrEx>
        <w:trPr>
          <w:trHeight w:val="498"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1</w:t>
            </w:r>
          </w:p>
        </w:tc>
        <w:tc>
          <w:tcPr>
            <w:tcW w:w="2835" w:type="dxa"/>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rPr>
                <w:rFonts w:ascii="仿宋_GB2312" w:hAnsi="宋体" w:eastAsia="仿宋_GB2312" w:cs="宋体"/>
                <w:color w:val="000000"/>
                <w:kern w:val="0"/>
                <w:sz w:val="28"/>
                <w:szCs w:val="28"/>
              </w:rPr>
            </w:pPr>
            <w:r>
              <w:rPr>
                <w:rFonts w:hint="eastAsia" w:ascii="仿宋_GB2312" w:hAnsi="宋体" w:eastAsia="仿宋_GB2312"/>
                <w:color w:val="000000"/>
                <w:sz w:val="28"/>
                <w:szCs w:val="28"/>
              </w:rPr>
              <w:t>大湾区跨境金融合作业务探索于实践</w:t>
            </w:r>
          </w:p>
        </w:tc>
        <w:tc>
          <w:tcPr>
            <w:tcW w:w="85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3</w:t>
            </w:r>
          </w:p>
        </w:tc>
        <w:tc>
          <w:tcPr>
            <w:tcW w:w="1843" w:type="dxa"/>
            <w:vMerge w:val="restart"/>
            <w:tcBorders>
              <w:top w:val="nil"/>
              <w:left w:val="nil"/>
              <w:right w:val="single" w:color="auto" w:sz="4" w:space="0"/>
            </w:tcBorders>
            <w:shd w:val="clear" w:color="auto" w:fill="auto"/>
          </w:tcPr>
          <w:p>
            <w:pPr>
              <w:widowControl/>
              <w:spacing w:line="560" w:lineRule="exact"/>
              <w:jc w:val="left"/>
              <w:rPr>
                <w:rFonts w:ascii="仿宋_GB2312" w:eastAsia="仿宋_GB2312" w:cs="宋体"/>
                <w:color w:val="000000"/>
                <w:kern w:val="0"/>
                <w:sz w:val="28"/>
                <w:szCs w:val="28"/>
              </w:rPr>
            </w:pPr>
          </w:p>
          <w:p>
            <w:pPr>
              <w:widowControl/>
              <w:spacing w:line="560" w:lineRule="exact"/>
              <w:jc w:val="left"/>
              <w:rPr>
                <w:rFonts w:ascii="仿宋_GB2312" w:eastAsia="仿宋_GB2312" w:cs="宋体"/>
                <w:color w:val="000000"/>
                <w:kern w:val="0"/>
                <w:sz w:val="28"/>
                <w:szCs w:val="28"/>
              </w:rPr>
            </w:pPr>
          </w:p>
          <w:p>
            <w:pPr>
              <w:widowControl/>
              <w:spacing w:line="560" w:lineRule="exact"/>
              <w:jc w:val="left"/>
              <w:rPr>
                <w:rFonts w:ascii="仿宋_GB2312" w:hAnsi="微软雅黑" w:eastAsia="仿宋_GB2312" w:cs="微软雅黑"/>
                <w:color w:val="000000"/>
                <w:kern w:val="0"/>
                <w:sz w:val="28"/>
                <w:szCs w:val="28"/>
              </w:rPr>
            </w:pPr>
            <w:r>
              <w:rPr>
                <w:rFonts w:hint="eastAsia" w:ascii="仿宋_GB2312" w:eastAsia="仿宋_GB2312" w:cs="宋体"/>
                <w:color w:val="000000"/>
                <w:kern w:val="0"/>
                <w:sz w:val="28"/>
                <w:szCs w:val="28"/>
              </w:rPr>
              <w:t>2022年8月第四周，周六至周日</w:t>
            </w:r>
          </w:p>
        </w:tc>
        <w:tc>
          <w:tcPr>
            <w:tcW w:w="1979" w:type="dxa"/>
            <w:vMerge w:val="restart"/>
            <w:tcBorders>
              <w:top w:val="nil"/>
              <w:left w:val="nil"/>
              <w:right w:val="single" w:color="auto" w:sz="4" w:space="0"/>
            </w:tcBorders>
          </w:tcPr>
          <w:p>
            <w:pPr>
              <w:widowControl/>
              <w:spacing w:line="560" w:lineRule="exact"/>
              <w:jc w:val="left"/>
              <w:rPr>
                <w:rFonts w:ascii="仿宋_GB2312" w:hAnsi="等线" w:eastAsia="仿宋_GB2312" w:cs="宋体"/>
                <w:color w:val="000000"/>
                <w:kern w:val="0"/>
                <w:sz w:val="28"/>
                <w:szCs w:val="28"/>
              </w:rPr>
            </w:pPr>
          </w:p>
          <w:p>
            <w:pPr>
              <w:widowControl/>
              <w:spacing w:line="560" w:lineRule="exact"/>
              <w:jc w:val="left"/>
              <w:rPr>
                <w:rFonts w:ascii="仿宋_GB2312" w:hAnsi="等线" w:eastAsia="仿宋_GB2312" w:cs="宋体"/>
                <w:color w:val="000000"/>
                <w:kern w:val="0"/>
                <w:sz w:val="28"/>
                <w:szCs w:val="28"/>
              </w:rPr>
            </w:pPr>
          </w:p>
          <w:p>
            <w:pPr>
              <w:widowControl/>
              <w:spacing w:line="560" w:lineRule="exact"/>
              <w:jc w:val="left"/>
              <w:rPr>
                <w:rFonts w:ascii="仿宋_GB2312" w:hAnsi="等线" w:eastAsia="仿宋_GB2312" w:cs="宋体"/>
                <w:color w:val="000000"/>
                <w:kern w:val="0"/>
                <w:sz w:val="28"/>
                <w:szCs w:val="28"/>
              </w:rPr>
            </w:pPr>
          </w:p>
          <w:p>
            <w:pPr>
              <w:widowControl/>
              <w:spacing w:line="560" w:lineRule="exact"/>
              <w:jc w:val="left"/>
              <w:rPr>
                <w:rFonts w:ascii="仿宋_GB2312" w:hAnsi="等线" w:eastAsia="仿宋_GB2312" w:cs="宋体"/>
                <w:color w:val="000000"/>
                <w:kern w:val="0"/>
                <w:sz w:val="28"/>
                <w:szCs w:val="28"/>
              </w:rPr>
            </w:pPr>
          </w:p>
          <w:p>
            <w:pPr>
              <w:widowControl/>
              <w:spacing w:line="560" w:lineRule="exact"/>
              <w:jc w:val="left"/>
              <w:rPr>
                <w:rFonts w:ascii="仿宋_GB2312" w:hAnsi="等线" w:eastAsia="仿宋_GB2312" w:cs="宋体"/>
                <w:color w:val="000000"/>
                <w:kern w:val="0"/>
                <w:sz w:val="28"/>
                <w:szCs w:val="28"/>
              </w:rPr>
            </w:pPr>
          </w:p>
          <w:p>
            <w:pPr>
              <w:widowControl/>
              <w:spacing w:line="560" w:lineRule="exact"/>
              <w:jc w:val="left"/>
              <w:rPr>
                <w:rFonts w:ascii="仿宋_GB2312" w:hAnsi="等线" w:eastAsia="仿宋_GB2312" w:cs="宋体"/>
                <w:color w:val="000000"/>
                <w:kern w:val="0"/>
                <w:sz w:val="28"/>
                <w:szCs w:val="28"/>
              </w:rPr>
            </w:pPr>
          </w:p>
          <w:p>
            <w:pPr>
              <w:widowControl/>
              <w:spacing w:line="560" w:lineRule="exact"/>
              <w:jc w:val="left"/>
              <w:rPr>
                <w:rFonts w:ascii="仿宋_GB2312" w:hAnsi="等线" w:eastAsia="仿宋_GB2312" w:cs="宋体"/>
                <w:color w:val="000000"/>
                <w:kern w:val="0"/>
                <w:sz w:val="28"/>
                <w:szCs w:val="28"/>
              </w:rPr>
            </w:pPr>
          </w:p>
          <w:p>
            <w:pPr>
              <w:widowControl/>
              <w:spacing w:line="560" w:lineRule="exact"/>
              <w:jc w:val="left"/>
              <w:rPr>
                <w:rFonts w:ascii="仿宋_GB2312" w:hAnsi="等线" w:eastAsia="仿宋_GB2312" w:cs="宋体"/>
                <w:color w:val="000000"/>
                <w:kern w:val="0"/>
                <w:sz w:val="28"/>
                <w:szCs w:val="28"/>
              </w:rPr>
            </w:pPr>
          </w:p>
          <w:p>
            <w:pPr>
              <w:widowControl/>
              <w:spacing w:line="560" w:lineRule="exact"/>
              <w:jc w:val="left"/>
              <w:rPr>
                <w:rFonts w:ascii="仿宋_GB2312" w:hAnsi="等线" w:eastAsia="仿宋_GB2312" w:cs="宋体"/>
                <w:color w:val="000000"/>
                <w:kern w:val="0"/>
                <w:sz w:val="28"/>
                <w:szCs w:val="28"/>
              </w:rPr>
            </w:pPr>
          </w:p>
          <w:p>
            <w:pPr>
              <w:widowControl/>
              <w:spacing w:line="560" w:lineRule="exact"/>
              <w:jc w:val="left"/>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深圳市龙华区北站壹号创享大厦37层</w:t>
            </w:r>
          </w:p>
        </w:tc>
      </w:tr>
      <w:tr>
        <w:tblPrEx>
          <w:tblCellMar>
            <w:top w:w="0" w:type="dxa"/>
            <w:left w:w="108" w:type="dxa"/>
            <w:bottom w:w="0" w:type="dxa"/>
            <w:right w:w="108" w:type="dxa"/>
          </w:tblCellMar>
        </w:tblPrEx>
        <w:trPr>
          <w:trHeight w:val="468"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2</w:t>
            </w:r>
          </w:p>
        </w:tc>
        <w:tc>
          <w:tcPr>
            <w:tcW w:w="2835" w:type="dxa"/>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rPr>
                <w:rFonts w:ascii="仿宋_GB2312" w:hAnsi="宋体" w:eastAsia="仿宋_GB2312" w:cs="宋体"/>
                <w:color w:val="000000"/>
                <w:kern w:val="0"/>
                <w:sz w:val="28"/>
                <w:szCs w:val="28"/>
              </w:rPr>
            </w:pPr>
            <w:r>
              <w:rPr>
                <w:rFonts w:hint="eastAsia" w:ascii="仿宋_GB2312" w:hAnsi="宋体" w:eastAsia="仿宋_GB2312"/>
                <w:color w:val="000000"/>
                <w:sz w:val="28"/>
                <w:szCs w:val="28"/>
              </w:rPr>
              <w:t>大湾区外汇管理现状与趋势</w:t>
            </w:r>
          </w:p>
        </w:tc>
        <w:tc>
          <w:tcPr>
            <w:tcW w:w="85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3</w:t>
            </w:r>
          </w:p>
        </w:tc>
        <w:tc>
          <w:tcPr>
            <w:tcW w:w="1843" w:type="dxa"/>
            <w:vMerge w:val="continue"/>
            <w:tcBorders>
              <w:left w:val="nil"/>
              <w:right w:val="single" w:color="auto" w:sz="4" w:space="0"/>
            </w:tcBorders>
            <w:shd w:val="clear" w:color="auto" w:fill="auto"/>
            <w:vAlign w:val="center"/>
          </w:tcPr>
          <w:p>
            <w:pPr>
              <w:widowControl/>
              <w:spacing w:line="560" w:lineRule="exact"/>
              <w:jc w:val="left"/>
              <w:rPr>
                <w:rFonts w:ascii="仿宋_GB2312" w:hAnsi="微软雅黑" w:eastAsia="仿宋_GB2312" w:cs="微软雅黑"/>
                <w:color w:val="000000"/>
                <w:kern w:val="0"/>
                <w:sz w:val="28"/>
                <w:szCs w:val="28"/>
              </w:rPr>
            </w:pPr>
          </w:p>
        </w:tc>
        <w:tc>
          <w:tcPr>
            <w:tcW w:w="1979" w:type="dxa"/>
            <w:vMerge w:val="continue"/>
            <w:tcBorders>
              <w:left w:val="nil"/>
              <w:right w:val="single" w:color="auto" w:sz="4" w:space="0"/>
            </w:tcBorders>
          </w:tcPr>
          <w:p>
            <w:pPr>
              <w:widowControl/>
              <w:spacing w:line="560" w:lineRule="exact"/>
              <w:jc w:val="left"/>
              <w:rPr>
                <w:rFonts w:ascii="仿宋_GB2312" w:hAnsi="等线" w:eastAsia="仿宋_GB2312" w:cs="宋体"/>
                <w:color w:val="000000"/>
                <w:kern w:val="0"/>
                <w:sz w:val="28"/>
                <w:szCs w:val="28"/>
              </w:rPr>
            </w:pPr>
          </w:p>
        </w:tc>
      </w:tr>
      <w:tr>
        <w:tblPrEx>
          <w:tblCellMar>
            <w:top w:w="0" w:type="dxa"/>
            <w:left w:w="108" w:type="dxa"/>
            <w:bottom w:w="0" w:type="dxa"/>
            <w:right w:w="108" w:type="dxa"/>
          </w:tblCellMar>
        </w:tblPrEx>
        <w:trPr>
          <w:trHeight w:val="498"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3</w:t>
            </w:r>
          </w:p>
        </w:tc>
        <w:tc>
          <w:tcPr>
            <w:tcW w:w="2835" w:type="dxa"/>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rPr>
                <w:rFonts w:ascii="仿宋_GB2312" w:hAnsi="宋体" w:eastAsia="仿宋_GB2312" w:cs="宋体"/>
                <w:color w:val="000000"/>
                <w:kern w:val="0"/>
                <w:sz w:val="28"/>
                <w:szCs w:val="28"/>
              </w:rPr>
            </w:pPr>
            <w:r>
              <w:rPr>
                <w:rFonts w:hint="eastAsia" w:ascii="仿宋_GB2312" w:hAnsi="宋体" w:eastAsia="仿宋_GB2312"/>
                <w:color w:val="000000"/>
                <w:sz w:val="28"/>
                <w:szCs w:val="28"/>
              </w:rPr>
              <w:t>国际货币新格局与大湾区跨境金融</w:t>
            </w:r>
          </w:p>
        </w:tc>
        <w:tc>
          <w:tcPr>
            <w:tcW w:w="85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3</w:t>
            </w:r>
          </w:p>
        </w:tc>
        <w:tc>
          <w:tcPr>
            <w:tcW w:w="1843" w:type="dxa"/>
            <w:vMerge w:val="continue"/>
            <w:tcBorders>
              <w:left w:val="nil"/>
              <w:right w:val="single" w:color="auto" w:sz="4" w:space="0"/>
            </w:tcBorders>
            <w:shd w:val="clear" w:color="auto" w:fill="auto"/>
            <w:vAlign w:val="center"/>
          </w:tcPr>
          <w:p>
            <w:pPr>
              <w:widowControl/>
              <w:spacing w:line="560" w:lineRule="exact"/>
              <w:jc w:val="left"/>
              <w:rPr>
                <w:rFonts w:ascii="仿宋_GB2312" w:hAnsi="微软雅黑" w:eastAsia="仿宋_GB2312" w:cs="微软雅黑"/>
                <w:color w:val="000000"/>
                <w:kern w:val="0"/>
                <w:sz w:val="28"/>
                <w:szCs w:val="28"/>
              </w:rPr>
            </w:pPr>
          </w:p>
        </w:tc>
        <w:tc>
          <w:tcPr>
            <w:tcW w:w="1979" w:type="dxa"/>
            <w:vMerge w:val="continue"/>
            <w:tcBorders>
              <w:left w:val="nil"/>
              <w:right w:val="single" w:color="auto" w:sz="4" w:space="0"/>
            </w:tcBorders>
          </w:tcPr>
          <w:p>
            <w:pPr>
              <w:widowControl/>
              <w:spacing w:line="560" w:lineRule="exact"/>
              <w:jc w:val="left"/>
              <w:rPr>
                <w:rFonts w:ascii="仿宋_GB2312" w:hAnsi="等线" w:eastAsia="仿宋_GB2312" w:cs="宋体"/>
                <w:color w:val="000000"/>
                <w:kern w:val="0"/>
                <w:sz w:val="28"/>
                <w:szCs w:val="28"/>
              </w:rPr>
            </w:pPr>
          </w:p>
        </w:tc>
      </w:tr>
      <w:tr>
        <w:tblPrEx>
          <w:tblCellMar>
            <w:top w:w="0" w:type="dxa"/>
            <w:left w:w="108" w:type="dxa"/>
            <w:bottom w:w="0" w:type="dxa"/>
            <w:right w:w="108" w:type="dxa"/>
          </w:tblCellMar>
        </w:tblPrEx>
        <w:trPr>
          <w:trHeight w:val="478"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4</w:t>
            </w:r>
          </w:p>
        </w:tc>
        <w:tc>
          <w:tcPr>
            <w:tcW w:w="2835" w:type="dxa"/>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rPr>
                <w:rFonts w:ascii="仿宋_GB2312" w:hAnsi="宋体" w:eastAsia="仿宋_GB2312" w:cs="宋体"/>
                <w:color w:val="000000"/>
                <w:kern w:val="0"/>
                <w:sz w:val="28"/>
                <w:szCs w:val="28"/>
              </w:rPr>
            </w:pPr>
            <w:r>
              <w:rPr>
                <w:rFonts w:hint="eastAsia" w:ascii="仿宋_GB2312" w:hAnsi="宋体" w:eastAsia="仿宋_GB2312"/>
                <w:color w:val="000000"/>
                <w:sz w:val="28"/>
                <w:szCs w:val="28"/>
              </w:rPr>
              <w:t>国际支付清算体系理论与实践</w:t>
            </w:r>
          </w:p>
        </w:tc>
        <w:tc>
          <w:tcPr>
            <w:tcW w:w="85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3</w:t>
            </w:r>
          </w:p>
        </w:tc>
        <w:tc>
          <w:tcPr>
            <w:tcW w:w="1843" w:type="dxa"/>
            <w:vMerge w:val="continue"/>
            <w:tcBorders>
              <w:left w:val="nil"/>
              <w:bottom w:val="single" w:color="auto" w:sz="4" w:space="0"/>
              <w:right w:val="single" w:color="auto" w:sz="4" w:space="0"/>
            </w:tcBorders>
            <w:shd w:val="clear" w:color="auto" w:fill="auto"/>
            <w:vAlign w:val="center"/>
          </w:tcPr>
          <w:p>
            <w:pPr>
              <w:widowControl/>
              <w:spacing w:line="560" w:lineRule="exact"/>
              <w:jc w:val="left"/>
              <w:rPr>
                <w:rFonts w:ascii="仿宋_GB2312" w:hAnsi="微软雅黑" w:eastAsia="仿宋_GB2312" w:cs="微软雅黑"/>
                <w:color w:val="000000"/>
                <w:kern w:val="0"/>
                <w:sz w:val="28"/>
                <w:szCs w:val="28"/>
              </w:rPr>
            </w:pPr>
          </w:p>
        </w:tc>
        <w:tc>
          <w:tcPr>
            <w:tcW w:w="1979" w:type="dxa"/>
            <w:vMerge w:val="continue"/>
            <w:tcBorders>
              <w:left w:val="nil"/>
              <w:right w:val="single" w:color="auto" w:sz="4" w:space="0"/>
            </w:tcBorders>
          </w:tcPr>
          <w:p>
            <w:pPr>
              <w:widowControl/>
              <w:spacing w:line="560" w:lineRule="exact"/>
              <w:jc w:val="left"/>
              <w:rPr>
                <w:rFonts w:ascii="仿宋_GB2312" w:hAnsi="等线" w:eastAsia="仿宋_GB2312" w:cs="宋体"/>
                <w:color w:val="000000"/>
                <w:kern w:val="0"/>
                <w:sz w:val="28"/>
                <w:szCs w:val="28"/>
              </w:rPr>
            </w:pPr>
          </w:p>
        </w:tc>
      </w:tr>
      <w:tr>
        <w:tblPrEx>
          <w:tblCellMar>
            <w:top w:w="0" w:type="dxa"/>
            <w:left w:w="108" w:type="dxa"/>
            <w:bottom w:w="0" w:type="dxa"/>
            <w:right w:w="108" w:type="dxa"/>
          </w:tblCellMar>
        </w:tblPrEx>
        <w:trPr>
          <w:trHeight w:val="478"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5</w:t>
            </w:r>
          </w:p>
        </w:tc>
        <w:tc>
          <w:tcPr>
            <w:tcW w:w="2835" w:type="dxa"/>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rPr>
                <w:rFonts w:ascii="仿宋_GB2312" w:hAnsi="宋体" w:eastAsia="仿宋_GB2312" w:cs="宋体"/>
                <w:color w:val="000000"/>
                <w:kern w:val="0"/>
                <w:sz w:val="28"/>
                <w:szCs w:val="28"/>
              </w:rPr>
            </w:pPr>
            <w:r>
              <w:rPr>
                <w:rFonts w:hint="eastAsia" w:ascii="仿宋_GB2312" w:hAnsi="宋体" w:eastAsia="仿宋_GB2312"/>
                <w:color w:val="000000"/>
                <w:sz w:val="28"/>
                <w:szCs w:val="28"/>
              </w:rPr>
              <w:t>主题论坛：俄乌战争对大湾区金融合 作与安全的反思</w:t>
            </w:r>
          </w:p>
        </w:tc>
        <w:tc>
          <w:tcPr>
            <w:tcW w:w="85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6</w:t>
            </w:r>
          </w:p>
        </w:tc>
        <w:tc>
          <w:tcPr>
            <w:tcW w:w="1843" w:type="dxa"/>
            <w:vMerge w:val="restart"/>
            <w:tcBorders>
              <w:top w:val="nil"/>
              <w:left w:val="nil"/>
              <w:right w:val="single" w:color="auto" w:sz="4" w:space="0"/>
            </w:tcBorders>
            <w:shd w:val="clear" w:color="auto" w:fill="auto"/>
            <w:vAlign w:val="center"/>
          </w:tcPr>
          <w:p>
            <w:pPr>
              <w:widowControl/>
              <w:spacing w:line="560" w:lineRule="exact"/>
              <w:jc w:val="left"/>
              <w:rPr>
                <w:rFonts w:ascii="仿宋_GB2312" w:hAnsi="微软雅黑" w:eastAsia="仿宋_GB2312" w:cs="微软雅黑"/>
                <w:color w:val="000000"/>
                <w:kern w:val="0"/>
                <w:sz w:val="28"/>
                <w:szCs w:val="28"/>
              </w:rPr>
            </w:pPr>
            <w:r>
              <w:rPr>
                <w:rFonts w:hint="eastAsia" w:ascii="仿宋_GB2312" w:eastAsia="仿宋_GB2312" w:cs="宋体"/>
                <w:color w:val="000000"/>
                <w:kern w:val="0"/>
                <w:sz w:val="28"/>
                <w:szCs w:val="28"/>
              </w:rPr>
              <w:t>2022年9月第一、三周，周六至周日</w:t>
            </w:r>
          </w:p>
        </w:tc>
        <w:tc>
          <w:tcPr>
            <w:tcW w:w="1979" w:type="dxa"/>
            <w:vMerge w:val="continue"/>
            <w:tcBorders>
              <w:left w:val="nil"/>
              <w:right w:val="single" w:color="auto" w:sz="4" w:space="0"/>
            </w:tcBorders>
          </w:tcPr>
          <w:p>
            <w:pPr>
              <w:widowControl/>
              <w:spacing w:line="560" w:lineRule="exact"/>
              <w:jc w:val="left"/>
              <w:rPr>
                <w:rFonts w:ascii="仿宋_GB2312" w:hAnsi="等线" w:eastAsia="仿宋_GB2312" w:cs="宋体"/>
                <w:color w:val="000000"/>
                <w:kern w:val="0"/>
                <w:sz w:val="28"/>
                <w:szCs w:val="28"/>
              </w:rPr>
            </w:pPr>
          </w:p>
        </w:tc>
      </w:tr>
      <w:tr>
        <w:tblPrEx>
          <w:tblCellMar>
            <w:top w:w="0" w:type="dxa"/>
            <w:left w:w="108" w:type="dxa"/>
            <w:bottom w:w="0" w:type="dxa"/>
            <w:right w:w="108" w:type="dxa"/>
          </w:tblCellMar>
        </w:tblPrEx>
        <w:trPr>
          <w:trHeight w:val="478"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6</w:t>
            </w:r>
          </w:p>
        </w:tc>
        <w:tc>
          <w:tcPr>
            <w:tcW w:w="2835" w:type="dxa"/>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rPr>
                <w:rFonts w:ascii="仿宋_GB2312" w:hAnsi="宋体" w:eastAsia="仿宋_GB2312" w:cs="宋体"/>
                <w:color w:val="000000"/>
                <w:kern w:val="0"/>
                <w:sz w:val="28"/>
                <w:szCs w:val="28"/>
              </w:rPr>
            </w:pPr>
            <w:r>
              <w:rPr>
                <w:rFonts w:hint="eastAsia" w:ascii="仿宋_GB2312" w:hAnsi="宋体" w:eastAsia="仿宋_GB2312"/>
                <w:color w:val="000000"/>
                <w:sz w:val="28"/>
                <w:szCs w:val="28"/>
              </w:rPr>
              <w:t>金融科技赋能银保监高质量发展</w:t>
            </w:r>
          </w:p>
        </w:tc>
        <w:tc>
          <w:tcPr>
            <w:tcW w:w="85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3</w:t>
            </w:r>
          </w:p>
        </w:tc>
        <w:tc>
          <w:tcPr>
            <w:tcW w:w="1843" w:type="dxa"/>
            <w:vMerge w:val="continue"/>
            <w:tcBorders>
              <w:left w:val="nil"/>
              <w:right w:val="single" w:color="auto" w:sz="4" w:space="0"/>
            </w:tcBorders>
            <w:shd w:val="clear" w:color="auto" w:fill="auto"/>
            <w:vAlign w:val="center"/>
          </w:tcPr>
          <w:p>
            <w:pPr>
              <w:widowControl/>
              <w:spacing w:line="560" w:lineRule="exact"/>
              <w:jc w:val="left"/>
              <w:rPr>
                <w:rFonts w:ascii="仿宋_GB2312" w:hAnsi="微软雅黑" w:eastAsia="仿宋_GB2312" w:cs="微软雅黑"/>
                <w:color w:val="000000"/>
                <w:kern w:val="0"/>
                <w:sz w:val="28"/>
                <w:szCs w:val="28"/>
              </w:rPr>
            </w:pPr>
          </w:p>
        </w:tc>
        <w:tc>
          <w:tcPr>
            <w:tcW w:w="1979" w:type="dxa"/>
            <w:vMerge w:val="continue"/>
            <w:tcBorders>
              <w:left w:val="nil"/>
              <w:right w:val="single" w:color="auto" w:sz="4" w:space="0"/>
            </w:tcBorders>
          </w:tcPr>
          <w:p>
            <w:pPr>
              <w:widowControl/>
              <w:spacing w:line="560" w:lineRule="exact"/>
              <w:jc w:val="left"/>
              <w:rPr>
                <w:rFonts w:ascii="仿宋_GB2312" w:hAnsi="等线" w:eastAsia="仿宋_GB2312" w:cs="宋体"/>
                <w:color w:val="000000"/>
                <w:kern w:val="0"/>
                <w:sz w:val="28"/>
                <w:szCs w:val="28"/>
              </w:rPr>
            </w:pPr>
          </w:p>
        </w:tc>
      </w:tr>
      <w:tr>
        <w:tblPrEx>
          <w:tblCellMar>
            <w:top w:w="0" w:type="dxa"/>
            <w:left w:w="108" w:type="dxa"/>
            <w:bottom w:w="0" w:type="dxa"/>
            <w:right w:w="108" w:type="dxa"/>
          </w:tblCellMar>
        </w:tblPrEx>
        <w:trPr>
          <w:trHeight w:val="478"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7</w:t>
            </w:r>
          </w:p>
        </w:tc>
        <w:tc>
          <w:tcPr>
            <w:tcW w:w="2835" w:type="dxa"/>
            <w:tcBorders>
              <w:top w:val="nil"/>
              <w:left w:val="single" w:color="auto" w:sz="4" w:space="0"/>
              <w:bottom w:val="single" w:color="000000" w:sz="4" w:space="0"/>
              <w:right w:val="single" w:color="auto" w:sz="4" w:space="0"/>
            </w:tcBorders>
            <w:shd w:val="clear" w:color="auto" w:fill="auto"/>
            <w:vAlign w:val="center"/>
          </w:tcPr>
          <w:p>
            <w:pPr>
              <w:pStyle w:val="19"/>
              <w:spacing w:after="300" w:line="560" w:lineRule="exact"/>
              <w:rPr>
                <w:rFonts w:ascii="仿宋_GB2312" w:eastAsia="仿宋_GB2312"/>
                <w:color w:val="000000"/>
                <w:kern w:val="0"/>
                <w:sz w:val="28"/>
                <w:szCs w:val="28"/>
              </w:rPr>
            </w:pPr>
            <w:r>
              <w:rPr>
                <w:rFonts w:hint="eastAsia" w:ascii="仿宋_GB2312" w:eastAsia="仿宋_GB2312"/>
                <w:color w:val="000000"/>
                <w:sz w:val="28"/>
                <w:szCs w:val="28"/>
              </w:rPr>
              <w:t>金融科技与金融机构结合应用理论与实践</w:t>
            </w:r>
          </w:p>
        </w:tc>
        <w:tc>
          <w:tcPr>
            <w:tcW w:w="85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3</w:t>
            </w:r>
          </w:p>
        </w:tc>
        <w:tc>
          <w:tcPr>
            <w:tcW w:w="1843" w:type="dxa"/>
            <w:vMerge w:val="continue"/>
            <w:tcBorders>
              <w:left w:val="nil"/>
              <w:right w:val="single" w:color="auto" w:sz="4" w:space="0"/>
            </w:tcBorders>
            <w:shd w:val="clear" w:color="auto" w:fill="auto"/>
            <w:vAlign w:val="center"/>
          </w:tcPr>
          <w:p>
            <w:pPr>
              <w:widowControl/>
              <w:spacing w:line="560" w:lineRule="exact"/>
              <w:jc w:val="left"/>
              <w:rPr>
                <w:rFonts w:ascii="仿宋_GB2312" w:hAnsi="微软雅黑" w:eastAsia="仿宋_GB2312" w:cs="微软雅黑"/>
                <w:color w:val="000000"/>
                <w:kern w:val="0"/>
                <w:sz w:val="28"/>
                <w:szCs w:val="28"/>
              </w:rPr>
            </w:pPr>
          </w:p>
        </w:tc>
        <w:tc>
          <w:tcPr>
            <w:tcW w:w="1979" w:type="dxa"/>
            <w:vMerge w:val="continue"/>
            <w:tcBorders>
              <w:left w:val="nil"/>
              <w:right w:val="single" w:color="auto" w:sz="4" w:space="0"/>
            </w:tcBorders>
          </w:tcPr>
          <w:p>
            <w:pPr>
              <w:widowControl/>
              <w:spacing w:line="560" w:lineRule="exact"/>
              <w:jc w:val="left"/>
              <w:rPr>
                <w:rFonts w:ascii="仿宋_GB2312" w:hAnsi="等线" w:eastAsia="仿宋_GB2312" w:cs="宋体"/>
                <w:color w:val="000000"/>
                <w:kern w:val="0"/>
                <w:sz w:val="28"/>
                <w:szCs w:val="28"/>
              </w:rPr>
            </w:pPr>
          </w:p>
        </w:tc>
      </w:tr>
      <w:tr>
        <w:tblPrEx>
          <w:tblCellMar>
            <w:top w:w="0" w:type="dxa"/>
            <w:left w:w="108" w:type="dxa"/>
            <w:bottom w:w="0" w:type="dxa"/>
            <w:right w:w="108" w:type="dxa"/>
          </w:tblCellMar>
        </w:tblPrEx>
        <w:trPr>
          <w:trHeight w:val="478"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8</w:t>
            </w:r>
          </w:p>
        </w:tc>
        <w:tc>
          <w:tcPr>
            <w:tcW w:w="2835" w:type="dxa"/>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rPr>
                <w:rFonts w:ascii="仿宋_GB2312" w:hAnsi="宋体" w:eastAsia="仿宋_GB2312" w:cs="宋体"/>
                <w:color w:val="000000"/>
                <w:kern w:val="0"/>
                <w:sz w:val="28"/>
                <w:szCs w:val="28"/>
              </w:rPr>
            </w:pPr>
            <w:r>
              <w:rPr>
                <w:rFonts w:hint="eastAsia" w:ascii="仿宋_GB2312" w:hAnsi="宋体" w:eastAsia="仿宋_GB2312"/>
                <w:color w:val="000000"/>
                <w:sz w:val="28"/>
                <w:szCs w:val="28"/>
              </w:rPr>
              <w:t>论坛主题：全球金融监管态势</w:t>
            </w:r>
          </w:p>
        </w:tc>
        <w:tc>
          <w:tcPr>
            <w:tcW w:w="85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4</w:t>
            </w:r>
          </w:p>
        </w:tc>
        <w:tc>
          <w:tcPr>
            <w:tcW w:w="1843" w:type="dxa"/>
            <w:vMerge w:val="continue"/>
            <w:tcBorders>
              <w:left w:val="nil"/>
              <w:bottom w:val="single" w:color="auto" w:sz="4" w:space="0"/>
              <w:right w:val="single" w:color="auto" w:sz="4" w:space="0"/>
            </w:tcBorders>
            <w:shd w:val="clear" w:color="auto" w:fill="auto"/>
            <w:vAlign w:val="center"/>
          </w:tcPr>
          <w:p>
            <w:pPr>
              <w:widowControl/>
              <w:spacing w:line="560" w:lineRule="exact"/>
              <w:jc w:val="left"/>
              <w:rPr>
                <w:rFonts w:ascii="仿宋_GB2312" w:hAnsi="微软雅黑" w:eastAsia="仿宋_GB2312" w:cs="微软雅黑"/>
                <w:color w:val="000000"/>
                <w:kern w:val="0"/>
                <w:sz w:val="28"/>
                <w:szCs w:val="28"/>
              </w:rPr>
            </w:pPr>
          </w:p>
        </w:tc>
        <w:tc>
          <w:tcPr>
            <w:tcW w:w="1979" w:type="dxa"/>
            <w:vMerge w:val="continue"/>
            <w:tcBorders>
              <w:left w:val="nil"/>
              <w:right w:val="single" w:color="auto" w:sz="4" w:space="0"/>
            </w:tcBorders>
          </w:tcPr>
          <w:p>
            <w:pPr>
              <w:widowControl/>
              <w:spacing w:line="560" w:lineRule="exact"/>
              <w:jc w:val="left"/>
              <w:rPr>
                <w:rFonts w:ascii="仿宋_GB2312" w:hAnsi="等线" w:eastAsia="仿宋_GB2312" w:cs="宋体"/>
                <w:color w:val="000000"/>
                <w:kern w:val="0"/>
                <w:sz w:val="28"/>
                <w:szCs w:val="28"/>
              </w:rPr>
            </w:pPr>
          </w:p>
        </w:tc>
      </w:tr>
      <w:tr>
        <w:tblPrEx>
          <w:tblCellMar>
            <w:top w:w="0" w:type="dxa"/>
            <w:left w:w="108" w:type="dxa"/>
            <w:bottom w:w="0" w:type="dxa"/>
            <w:right w:w="108" w:type="dxa"/>
          </w:tblCellMar>
        </w:tblPrEx>
        <w:trPr>
          <w:trHeight w:val="478"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9</w:t>
            </w:r>
          </w:p>
        </w:tc>
        <w:tc>
          <w:tcPr>
            <w:tcW w:w="2835" w:type="dxa"/>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rPr>
                <w:rFonts w:ascii="仿宋_GB2312" w:hAnsi="宋体" w:eastAsia="仿宋_GB2312" w:cs="宋体"/>
                <w:color w:val="000000"/>
                <w:kern w:val="0"/>
                <w:sz w:val="28"/>
                <w:szCs w:val="28"/>
              </w:rPr>
            </w:pPr>
            <w:r>
              <w:rPr>
                <w:rFonts w:hint="eastAsia" w:ascii="仿宋_GB2312" w:hAnsi="宋体" w:eastAsia="仿宋_GB2312"/>
                <w:color w:val="000000"/>
                <w:sz w:val="28"/>
                <w:szCs w:val="28"/>
              </w:rPr>
              <w:t>金融数据基础设施的监管与合规</w:t>
            </w:r>
          </w:p>
        </w:tc>
        <w:tc>
          <w:tcPr>
            <w:tcW w:w="85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2</w:t>
            </w:r>
          </w:p>
        </w:tc>
        <w:tc>
          <w:tcPr>
            <w:tcW w:w="1843" w:type="dxa"/>
            <w:vMerge w:val="restart"/>
            <w:tcBorders>
              <w:top w:val="nil"/>
              <w:left w:val="nil"/>
              <w:right w:val="single" w:color="auto" w:sz="4" w:space="0"/>
            </w:tcBorders>
            <w:shd w:val="clear" w:color="auto" w:fill="auto"/>
            <w:vAlign w:val="center"/>
          </w:tcPr>
          <w:p>
            <w:pPr>
              <w:widowControl/>
              <w:spacing w:line="560" w:lineRule="exact"/>
              <w:jc w:val="left"/>
              <w:rPr>
                <w:rFonts w:ascii="仿宋_GB2312" w:hAnsi="微软雅黑" w:eastAsia="仿宋_GB2312" w:cs="微软雅黑"/>
                <w:color w:val="000000"/>
                <w:kern w:val="0"/>
                <w:sz w:val="28"/>
                <w:szCs w:val="28"/>
              </w:rPr>
            </w:pPr>
            <w:r>
              <w:rPr>
                <w:rFonts w:hint="eastAsia" w:ascii="仿宋_GB2312" w:eastAsia="仿宋_GB2312" w:cs="宋体"/>
                <w:color w:val="000000"/>
                <w:kern w:val="0"/>
                <w:sz w:val="28"/>
                <w:szCs w:val="28"/>
              </w:rPr>
              <w:t>2022年10月第二周，周五至周六</w:t>
            </w:r>
          </w:p>
        </w:tc>
        <w:tc>
          <w:tcPr>
            <w:tcW w:w="1979" w:type="dxa"/>
            <w:vMerge w:val="continue"/>
            <w:tcBorders>
              <w:left w:val="nil"/>
              <w:right w:val="single" w:color="auto" w:sz="4" w:space="0"/>
            </w:tcBorders>
          </w:tcPr>
          <w:p>
            <w:pPr>
              <w:widowControl/>
              <w:spacing w:line="560" w:lineRule="exact"/>
              <w:jc w:val="left"/>
              <w:rPr>
                <w:rFonts w:ascii="仿宋_GB2312" w:hAnsi="等线" w:eastAsia="仿宋_GB2312" w:cs="宋体"/>
                <w:color w:val="000000"/>
                <w:kern w:val="0"/>
                <w:sz w:val="28"/>
                <w:szCs w:val="28"/>
              </w:rPr>
            </w:pPr>
          </w:p>
        </w:tc>
      </w:tr>
      <w:tr>
        <w:tblPrEx>
          <w:tblCellMar>
            <w:top w:w="0" w:type="dxa"/>
            <w:left w:w="108" w:type="dxa"/>
            <w:bottom w:w="0" w:type="dxa"/>
            <w:right w:w="108" w:type="dxa"/>
          </w:tblCellMar>
        </w:tblPrEx>
        <w:trPr>
          <w:trHeight w:val="478"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10</w:t>
            </w:r>
          </w:p>
        </w:tc>
        <w:tc>
          <w:tcPr>
            <w:tcW w:w="2835" w:type="dxa"/>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rPr>
                <w:rFonts w:ascii="仿宋_GB2312" w:hAnsi="宋体" w:eastAsia="仿宋_GB2312" w:cs="宋体"/>
                <w:color w:val="000000"/>
                <w:kern w:val="0"/>
                <w:sz w:val="28"/>
                <w:szCs w:val="28"/>
              </w:rPr>
            </w:pPr>
            <w:r>
              <w:rPr>
                <w:rFonts w:hint="eastAsia" w:ascii="仿宋_GB2312" w:hAnsi="宋体" w:eastAsia="仿宋_GB2312"/>
                <w:color w:val="000000"/>
                <w:sz w:val="28"/>
                <w:szCs w:val="28"/>
              </w:rPr>
              <w:t>地方金融监管与合规</w:t>
            </w:r>
          </w:p>
        </w:tc>
        <w:tc>
          <w:tcPr>
            <w:tcW w:w="85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2</w:t>
            </w:r>
          </w:p>
        </w:tc>
        <w:tc>
          <w:tcPr>
            <w:tcW w:w="1843" w:type="dxa"/>
            <w:vMerge w:val="continue"/>
            <w:tcBorders>
              <w:left w:val="nil"/>
              <w:right w:val="single" w:color="auto" w:sz="4" w:space="0"/>
            </w:tcBorders>
            <w:shd w:val="clear" w:color="auto" w:fill="auto"/>
            <w:vAlign w:val="center"/>
          </w:tcPr>
          <w:p>
            <w:pPr>
              <w:widowControl/>
              <w:spacing w:line="560" w:lineRule="exact"/>
              <w:jc w:val="left"/>
              <w:rPr>
                <w:rFonts w:ascii="仿宋_GB2312" w:hAnsi="微软雅黑" w:eastAsia="仿宋_GB2312" w:cs="微软雅黑"/>
                <w:color w:val="000000"/>
                <w:kern w:val="0"/>
                <w:sz w:val="28"/>
                <w:szCs w:val="28"/>
              </w:rPr>
            </w:pPr>
          </w:p>
        </w:tc>
        <w:tc>
          <w:tcPr>
            <w:tcW w:w="1979" w:type="dxa"/>
            <w:vMerge w:val="continue"/>
            <w:tcBorders>
              <w:left w:val="nil"/>
              <w:right w:val="single" w:color="auto" w:sz="4" w:space="0"/>
            </w:tcBorders>
          </w:tcPr>
          <w:p>
            <w:pPr>
              <w:widowControl/>
              <w:spacing w:line="560" w:lineRule="exact"/>
              <w:jc w:val="left"/>
              <w:rPr>
                <w:rFonts w:ascii="仿宋_GB2312" w:hAnsi="等线" w:eastAsia="仿宋_GB2312" w:cs="宋体"/>
                <w:color w:val="000000"/>
                <w:kern w:val="0"/>
                <w:sz w:val="28"/>
                <w:szCs w:val="28"/>
              </w:rPr>
            </w:pPr>
          </w:p>
        </w:tc>
      </w:tr>
      <w:tr>
        <w:tblPrEx>
          <w:tblCellMar>
            <w:top w:w="0" w:type="dxa"/>
            <w:left w:w="108" w:type="dxa"/>
            <w:bottom w:w="0" w:type="dxa"/>
            <w:right w:w="108" w:type="dxa"/>
          </w:tblCellMar>
        </w:tblPrEx>
        <w:trPr>
          <w:trHeight w:val="478"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11</w:t>
            </w:r>
          </w:p>
        </w:tc>
        <w:tc>
          <w:tcPr>
            <w:tcW w:w="2835" w:type="dxa"/>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金融科技企业标杆考察</w:t>
            </w:r>
          </w:p>
        </w:tc>
        <w:tc>
          <w:tcPr>
            <w:tcW w:w="85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4</w:t>
            </w:r>
          </w:p>
        </w:tc>
        <w:tc>
          <w:tcPr>
            <w:tcW w:w="1843" w:type="dxa"/>
            <w:vMerge w:val="continue"/>
            <w:tcBorders>
              <w:left w:val="nil"/>
              <w:bottom w:val="single" w:color="auto" w:sz="4" w:space="0"/>
              <w:right w:val="single" w:color="auto" w:sz="4" w:space="0"/>
            </w:tcBorders>
            <w:shd w:val="clear" w:color="auto" w:fill="auto"/>
            <w:vAlign w:val="center"/>
          </w:tcPr>
          <w:p>
            <w:pPr>
              <w:widowControl/>
              <w:spacing w:line="560" w:lineRule="exact"/>
              <w:jc w:val="left"/>
              <w:rPr>
                <w:rFonts w:ascii="仿宋_GB2312" w:hAnsi="微软雅黑" w:eastAsia="仿宋_GB2312" w:cs="微软雅黑"/>
                <w:color w:val="000000"/>
                <w:kern w:val="0"/>
                <w:sz w:val="28"/>
                <w:szCs w:val="28"/>
              </w:rPr>
            </w:pPr>
          </w:p>
        </w:tc>
        <w:tc>
          <w:tcPr>
            <w:tcW w:w="1979" w:type="dxa"/>
            <w:tcBorders>
              <w:top w:val="nil"/>
              <w:left w:val="nil"/>
              <w:bottom w:val="single" w:color="auto" w:sz="4" w:space="0"/>
              <w:right w:val="single" w:color="auto" w:sz="4" w:space="0"/>
            </w:tcBorders>
          </w:tcPr>
          <w:p>
            <w:pPr>
              <w:widowControl/>
              <w:spacing w:line="560" w:lineRule="exact"/>
              <w:jc w:val="left"/>
              <w:rPr>
                <w:rFonts w:ascii="仿宋_GB2312" w:hAnsi="等线" w:eastAsia="仿宋_GB2312" w:cs="宋体"/>
                <w:color w:val="000000"/>
                <w:kern w:val="0"/>
                <w:sz w:val="28"/>
                <w:szCs w:val="28"/>
              </w:rPr>
            </w:pPr>
          </w:p>
          <w:p>
            <w:pPr>
              <w:spacing w:line="560" w:lineRule="exact"/>
              <w:rPr>
                <w:rFonts w:ascii="仿宋_GB2312" w:eastAsia="仿宋_GB2312"/>
                <w:sz w:val="28"/>
                <w:szCs w:val="28"/>
              </w:rPr>
            </w:pPr>
          </w:p>
        </w:tc>
      </w:tr>
      <w:tr>
        <w:tblPrEx>
          <w:tblCellMar>
            <w:top w:w="0" w:type="dxa"/>
            <w:left w:w="108" w:type="dxa"/>
            <w:bottom w:w="0" w:type="dxa"/>
            <w:right w:w="108" w:type="dxa"/>
          </w:tblCellMar>
        </w:tblPrEx>
        <w:trPr>
          <w:trHeight w:val="498"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合计</w:t>
            </w:r>
          </w:p>
        </w:tc>
        <w:tc>
          <w:tcPr>
            <w:tcW w:w="2835" w:type="dxa"/>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left"/>
              <w:rPr>
                <w:rFonts w:ascii="仿宋_GB2312" w:hAnsi="等线" w:eastAsia="仿宋_GB2312" w:cs="宋体"/>
                <w:b/>
                <w:bCs/>
                <w:color w:val="000000"/>
                <w:kern w:val="0"/>
                <w:sz w:val="28"/>
                <w:szCs w:val="2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36</w:t>
            </w:r>
          </w:p>
        </w:tc>
        <w:tc>
          <w:tcPr>
            <w:tcW w:w="184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hAnsi="等线" w:eastAsia="仿宋_GB2312" w:cs="宋体"/>
                <w:b/>
                <w:bCs/>
                <w:color w:val="000000"/>
                <w:kern w:val="0"/>
                <w:sz w:val="28"/>
                <w:szCs w:val="28"/>
              </w:rPr>
            </w:pPr>
          </w:p>
        </w:tc>
        <w:tc>
          <w:tcPr>
            <w:tcW w:w="1979" w:type="dxa"/>
            <w:tcBorders>
              <w:top w:val="nil"/>
              <w:left w:val="nil"/>
              <w:bottom w:val="single" w:color="auto" w:sz="4" w:space="0"/>
              <w:right w:val="single" w:color="auto" w:sz="4" w:space="0"/>
            </w:tcBorders>
          </w:tcPr>
          <w:p>
            <w:pPr>
              <w:widowControl/>
              <w:spacing w:line="560" w:lineRule="exact"/>
              <w:jc w:val="left"/>
              <w:rPr>
                <w:rFonts w:ascii="仿宋_GB2312" w:hAnsi="等线" w:eastAsia="仿宋_GB2312" w:cs="宋体"/>
                <w:color w:val="000000"/>
                <w:kern w:val="0"/>
                <w:sz w:val="28"/>
                <w:szCs w:val="28"/>
              </w:rPr>
            </w:pPr>
          </w:p>
        </w:tc>
      </w:tr>
    </w:tbl>
    <w:p>
      <w:pPr>
        <w:spacing w:line="560" w:lineRule="exact"/>
        <w:rPr>
          <w:rFonts w:ascii="仿宋_GB2312" w:hAnsi="黑体" w:eastAsia="仿宋_GB2312"/>
          <w:sz w:val="28"/>
          <w:szCs w:val="28"/>
        </w:rPr>
      </w:pPr>
      <w:r>
        <w:rPr>
          <w:rFonts w:hint="eastAsia" w:ascii="仿宋_GB2312" w:hAnsi="黑体" w:eastAsia="仿宋_GB2312"/>
          <w:sz w:val="28"/>
          <w:szCs w:val="28"/>
        </w:rPr>
        <w:t>说明：由于疫情防控需要，以上时间地点以实际为准。</w:t>
      </w:r>
    </w:p>
    <w:p>
      <w:pPr>
        <w:spacing w:line="560" w:lineRule="exact"/>
        <w:ind w:firstLine="640" w:firstLineChars="200"/>
        <w:rPr>
          <w:rFonts w:ascii="黑体" w:hAnsi="黑体" w:eastAsia="黑体"/>
          <w:sz w:val="32"/>
          <w:szCs w:val="36"/>
        </w:rPr>
      </w:pPr>
      <w:r>
        <w:rPr>
          <w:rFonts w:hint="eastAsia" w:ascii="黑体" w:hAnsi="黑体" w:eastAsia="黑体"/>
          <w:sz w:val="32"/>
          <w:szCs w:val="36"/>
        </w:rPr>
        <w:t>四、考核要求</w:t>
      </w:r>
    </w:p>
    <w:p>
      <w:pPr>
        <w:spacing w:line="560" w:lineRule="exact"/>
        <w:ind w:firstLine="640" w:firstLineChars="200"/>
        <w:jc w:val="left"/>
        <w:outlineLvl w:val="1"/>
        <w:rPr>
          <w:rFonts w:ascii="楷体_GB2312" w:hAnsi="楷体" w:eastAsia="楷体_GB2312" w:cs="Times New Roman"/>
          <w:sz w:val="32"/>
          <w:szCs w:val="32"/>
          <w:shd w:val="clear" w:color="auto" w:fill="FFFFFF"/>
        </w:rPr>
      </w:pPr>
      <w:r>
        <w:rPr>
          <w:rFonts w:hint="eastAsia" w:ascii="楷体_GB2312" w:hAnsi="楷体" w:eastAsia="楷体_GB2312" w:cs="Times New Roman"/>
          <w:sz w:val="32"/>
          <w:szCs w:val="32"/>
          <w:shd w:val="clear" w:color="auto" w:fill="FFFFFF"/>
        </w:rPr>
        <w:t>（一）</w:t>
      </w:r>
      <w:r>
        <w:rPr>
          <w:rFonts w:hint="eastAsia" w:ascii="楷体_GB2312" w:hAnsi="楷体" w:eastAsia="楷体_GB2312" w:cs="Times New Roman"/>
          <w:color w:val="333333"/>
          <w:sz w:val="32"/>
          <w:szCs w:val="32"/>
          <w:shd w:val="clear" w:color="auto" w:fill="FFFFFF"/>
        </w:rPr>
        <w:t>考勤</w:t>
      </w:r>
      <w:r>
        <w:rPr>
          <w:rFonts w:hint="eastAsia" w:ascii="楷体_GB2312" w:hAnsi="楷体" w:eastAsia="楷体_GB2312" w:cs="Times New Roman"/>
          <w:sz w:val="32"/>
          <w:szCs w:val="32"/>
          <w:shd w:val="clear" w:color="auto" w:fill="FFFFFF"/>
        </w:rPr>
        <w:t>达标</w:t>
      </w:r>
    </w:p>
    <w:p>
      <w:pPr>
        <w:spacing w:line="560" w:lineRule="exact"/>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总学时为</w:t>
      </w:r>
      <w:r>
        <w:rPr>
          <w:rFonts w:ascii="仿宋_GB2312" w:hAnsi="仿宋_GB2312" w:eastAsia="仿宋_GB2312" w:cs="仿宋_GB2312"/>
          <w:color w:val="333333"/>
          <w:kern w:val="0"/>
          <w:sz w:val="32"/>
          <w:szCs w:val="32"/>
          <w:shd w:val="clear" w:color="auto" w:fill="FFFFFF"/>
        </w:rPr>
        <w:t>36</w:t>
      </w:r>
      <w:r>
        <w:rPr>
          <w:rFonts w:hint="eastAsia" w:ascii="仿宋_GB2312" w:hAnsi="仿宋_GB2312" w:eastAsia="仿宋_GB2312" w:cs="仿宋_GB2312"/>
          <w:color w:val="333333"/>
          <w:kern w:val="0"/>
          <w:sz w:val="32"/>
          <w:szCs w:val="32"/>
          <w:shd w:val="clear" w:color="auto" w:fill="FFFFFF"/>
        </w:rPr>
        <w:t>学时，学员缺勤次数不得超过6学时，即总学时的1/</w:t>
      </w:r>
      <w:r>
        <w:rPr>
          <w:rFonts w:ascii="仿宋_GB2312" w:hAnsi="仿宋_GB2312" w:eastAsia="仿宋_GB2312" w:cs="仿宋_GB2312"/>
          <w:color w:val="333333"/>
          <w:kern w:val="0"/>
          <w:sz w:val="32"/>
          <w:szCs w:val="32"/>
          <w:shd w:val="clear" w:color="auto" w:fill="FFFFFF"/>
        </w:rPr>
        <w:t>6</w:t>
      </w:r>
      <w:r>
        <w:rPr>
          <w:rFonts w:hint="eastAsia" w:ascii="仿宋_GB2312" w:hAnsi="仿宋_GB2312" w:eastAsia="仿宋_GB2312" w:cs="仿宋_GB2312"/>
          <w:color w:val="333333"/>
          <w:kern w:val="0"/>
          <w:sz w:val="32"/>
          <w:szCs w:val="32"/>
          <w:shd w:val="clear" w:color="auto" w:fill="FFFFFF"/>
        </w:rPr>
        <w:t>。</w:t>
      </w:r>
    </w:p>
    <w:p>
      <w:pPr>
        <w:spacing w:line="560" w:lineRule="exact"/>
        <w:ind w:firstLine="640" w:firstLineChars="200"/>
        <w:jc w:val="left"/>
        <w:outlineLvl w:val="1"/>
        <w:rPr>
          <w:rFonts w:ascii="楷体_GB2312" w:hAnsi="楷体" w:eastAsia="楷体_GB2312" w:cs="Times New Roman"/>
          <w:sz w:val="32"/>
          <w:szCs w:val="32"/>
          <w:shd w:val="clear" w:color="auto" w:fill="FFFFFF"/>
        </w:rPr>
      </w:pPr>
      <w:r>
        <w:rPr>
          <w:rFonts w:hint="eastAsia" w:ascii="楷体_GB2312" w:hAnsi="楷体" w:eastAsia="楷体_GB2312" w:cs="Times New Roman"/>
          <w:sz w:val="32"/>
          <w:szCs w:val="32"/>
          <w:shd w:val="clear" w:color="auto" w:fill="FFFFFF"/>
        </w:rPr>
        <w:t>（二）提交学习报告</w:t>
      </w:r>
    </w:p>
    <w:p>
      <w:pPr>
        <w:spacing w:line="560" w:lineRule="exact"/>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结业前，学员以组成课题小组的形式提交1篇课题报告。</w:t>
      </w:r>
    </w:p>
    <w:p>
      <w:pPr>
        <w:spacing w:line="560" w:lineRule="exact"/>
        <w:ind w:firstLine="640" w:firstLineChars="200"/>
        <w:jc w:val="left"/>
        <w:outlineLvl w:val="1"/>
        <w:rPr>
          <w:rFonts w:ascii="楷体_GB2312" w:hAnsi="楷体" w:eastAsia="楷体_GB2312" w:cs="Times New Roman"/>
          <w:sz w:val="32"/>
          <w:szCs w:val="32"/>
          <w:shd w:val="clear" w:color="auto" w:fill="FFFFFF"/>
        </w:rPr>
      </w:pPr>
      <w:r>
        <w:rPr>
          <w:rFonts w:hint="eastAsia" w:ascii="楷体_GB2312" w:hAnsi="楷体" w:eastAsia="楷体_GB2312" w:cs="Times New Roman"/>
          <w:sz w:val="32"/>
          <w:szCs w:val="32"/>
          <w:shd w:val="clear" w:color="auto" w:fill="FFFFFF"/>
        </w:rPr>
        <w:t>（三）考核结果运用</w:t>
      </w:r>
    </w:p>
    <w:p>
      <w:pPr>
        <w:spacing w:line="560" w:lineRule="exact"/>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享受财政补贴的学员考勤达标且提交学习报告的，才可享受培养经费资助。</w:t>
      </w:r>
    </w:p>
    <w:p>
      <w:pPr>
        <w:spacing w:line="560" w:lineRule="exact"/>
        <w:ind w:firstLine="642" w:firstLineChars="200"/>
        <w:rPr>
          <w:rFonts w:ascii="黑体" w:hAnsi="黑体" w:eastAsia="黑体"/>
          <w:sz w:val="32"/>
          <w:szCs w:val="36"/>
        </w:rPr>
      </w:pPr>
      <w:r>
        <w:rPr>
          <w:rFonts w:hint="eastAsia" w:ascii="黑体" w:hAnsi="黑体" w:eastAsia="黑体"/>
          <w:b/>
          <w:bCs/>
          <w:sz w:val="32"/>
          <w:szCs w:val="36"/>
        </w:rPr>
        <w:t>五、学费缴纳</w:t>
      </w:r>
    </w:p>
    <w:p>
      <w:pPr>
        <w:spacing w:line="560" w:lineRule="exact"/>
        <w:ind w:firstLine="640" w:firstLineChars="200"/>
        <w:jc w:val="left"/>
        <w:outlineLvl w:val="1"/>
        <w:rPr>
          <w:rFonts w:ascii="楷体_GB2312" w:hAnsi="楷体" w:eastAsia="楷体_GB2312" w:cs="Times New Roman"/>
          <w:sz w:val="32"/>
          <w:szCs w:val="32"/>
          <w:shd w:val="clear" w:color="auto" w:fill="FFFFFF"/>
        </w:rPr>
      </w:pPr>
      <w:r>
        <w:rPr>
          <w:rFonts w:hint="eastAsia" w:ascii="楷体_GB2312" w:hAnsi="楷体" w:eastAsia="楷体_GB2312" w:cs="Times New Roman"/>
          <w:sz w:val="32"/>
          <w:szCs w:val="32"/>
          <w:shd w:val="clear" w:color="auto" w:fill="FFFFFF"/>
        </w:rPr>
        <w:t>（一）费用标准</w:t>
      </w:r>
    </w:p>
    <w:p>
      <w:pPr>
        <w:spacing w:line="560" w:lineRule="exact"/>
        <w:ind w:left="1" w:firstLine="640" w:firstLineChars="200"/>
        <w:rPr>
          <w:rFonts w:ascii="仿宋_GB2312" w:hAnsi="楷体" w:eastAsia="仿宋_GB2312"/>
          <w:sz w:val="32"/>
          <w:szCs w:val="32"/>
        </w:rPr>
      </w:pPr>
      <w:r>
        <w:rPr>
          <w:rFonts w:ascii="仿宋_GB2312" w:hAnsi="楷体" w:eastAsia="仿宋_GB2312"/>
          <w:sz w:val="32"/>
          <w:szCs w:val="32"/>
        </w:rPr>
        <w:t>2022年深圳市金融骨干人才培养计划系列专题研修班</w:t>
      </w:r>
      <w:r>
        <w:rPr>
          <w:rFonts w:hint="eastAsia" w:ascii="仿宋_GB2312" w:hAnsi="楷体" w:eastAsia="仿宋_GB2312"/>
          <w:sz w:val="32"/>
          <w:szCs w:val="32"/>
        </w:rPr>
        <w:t>学费为14820元/人，学费含师资费、场地费、餐费（上课期间工作餐）、学习资料费、团建活动费、项目管理费等。其中</w:t>
      </w:r>
      <w:r>
        <w:rPr>
          <w:rFonts w:hint="eastAsia" w:ascii="仿宋_GB2312" w:hAnsi="仿宋_GB2312" w:eastAsia="仿宋_GB2312" w:cs="仿宋_GB2312"/>
          <w:color w:val="333333"/>
          <w:kern w:val="0"/>
          <w:sz w:val="32"/>
          <w:szCs w:val="32"/>
          <w:shd w:val="clear" w:color="auto" w:fill="FFFFFF"/>
        </w:rPr>
        <w:t>财政补贴学员先行缴纳全额学费，项目结业到达考核标准，发放财政补贴1万元/人。</w:t>
      </w:r>
      <w:r>
        <w:rPr>
          <w:rFonts w:hint="eastAsia" w:ascii="仿宋_GB2312" w:hAnsi="楷体" w:eastAsia="仿宋_GB2312"/>
          <w:sz w:val="32"/>
          <w:szCs w:val="32"/>
        </w:rPr>
        <w:t>非财政补贴学员需自费缴纳全额学费14820元。</w:t>
      </w:r>
    </w:p>
    <w:p>
      <w:pPr>
        <w:spacing w:line="560" w:lineRule="exact"/>
        <w:ind w:firstLine="640" w:firstLineChars="200"/>
        <w:jc w:val="left"/>
        <w:outlineLvl w:val="1"/>
        <w:rPr>
          <w:rFonts w:ascii="楷体_GB2312" w:hAnsi="楷体" w:eastAsia="楷体_GB2312" w:cs="Times New Roman"/>
          <w:sz w:val="32"/>
          <w:szCs w:val="32"/>
          <w:shd w:val="clear" w:color="auto" w:fill="FFFFFF"/>
        </w:rPr>
      </w:pPr>
      <w:r>
        <w:rPr>
          <w:rFonts w:hint="eastAsia" w:ascii="楷体_GB2312" w:hAnsi="楷体" w:eastAsia="楷体_GB2312" w:cs="Times New Roman"/>
          <w:sz w:val="32"/>
          <w:szCs w:val="32"/>
          <w:shd w:val="clear" w:color="auto" w:fill="FFFFFF"/>
        </w:rPr>
        <w:t>（二）收款账号</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收款单位: 深圳市大湾区金融研究院</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开户银行：</w:t>
      </w:r>
      <w:r>
        <w:rPr>
          <w:rFonts w:ascii="仿宋_GB2312" w:hAnsi="楷体" w:eastAsia="仿宋_GB2312"/>
          <w:sz w:val="32"/>
          <w:szCs w:val="32"/>
        </w:rPr>
        <w:t xml:space="preserve"> </w:t>
      </w:r>
      <w:r>
        <w:rPr>
          <w:rFonts w:hint="eastAsia" w:ascii="仿宋_GB2312" w:hAnsi="楷体" w:eastAsia="仿宋_GB2312"/>
          <w:sz w:val="32"/>
          <w:szCs w:val="32"/>
        </w:rPr>
        <w:t>中国工商银行股份有限公司深圳观澜支行</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账    号：4000055609100997466</w:t>
      </w:r>
    </w:p>
    <w:p>
      <w:pPr>
        <w:spacing w:line="560" w:lineRule="exact"/>
        <w:ind w:left="1" w:firstLine="560" w:firstLineChars="200"/>
        <w:rPr>
          <w:rFonts w:ascii="仿宋_GB2312" w:hAnsi="楷体" w:eastAsia="仿宋_GB2312"/>
          <w:sz w:val="32"/>
          <w:szCs w:val="32"/>
        </w:rPr>
      </w:pPr>
      <w:r>
        <w:rPr>
          <w:rFonts w:hint="eastAsia" w:ascii="仿宋_GB2312" w:hAnsi="仿宋_GB2312" w:eastAsia="仿宋_GB2312" w:cs="仿宋_GB2312"/>
          <w:color w:val="333333"/>
          <w:kern w:val="0"/>
          <w:sz w:val="28"/>
          <w:szCs w:val="28"/>
          <w:shd w:val="clear" w:color="auto" w:fill="FFFFFF"/>
        </w:rPr>
        <w:t>*转帐时请注明：202</w:t>
      </w:r>
      <w:r>
        <w:rPr>
          <w:rFonts w:ascii="仿宋_GB2312" w:hAnsi="仿宋_GB2312" w:eastAsia="仿宋_GB2312" w:cs="仿宋_GB2312"/>
          <w:color w:val="333333"/>
          <w:kern w:val="0"/>
          <w:sz w:val="28"/>
          <w:szCs w:val="28"/>
          <w:shd w:val="clear" w:color="auto" w:fill="FFFFFF"/>
        </w:rPr>
        <w:t>2</w:t>
      </w:r>
      <w:r>
        <w:rPr>
          <w:rFonts w:hint="eastAsia" w:ascii="仿宋_GB2312" w:hAnsi="仿宋_GB2312" w:eastAsia="仿宋_GB2312" w:cs="仿宋_GB2312"/>
          <w:color w:val="333333"/>
          <w:kern w:val="0"/>
          <w:sz w:val="28"/>
          <w:szCs w:val="28"/>
          <w:shd w:val="clear" w:color="auto" w:fill="FFFFFF"/>
        </w:rPr>
        <w:t>年深圳市金融骨干人才研修班+单位+学员姓名</w:t>
      </w:r>
    </w:p>
    <w:p>
      <w:pPr>
        <w:spacing w:line="560" w:lineRule="exact"/>
        <w:ind w:firstLine="640" w:firstLineChars="200"/>
        <w:jc w:val="left"/>
        <w:outlineLvl w:val="1"/>
        <w:rPr>
          <w:rFonts w:ascii="楷体_GB2312" w:hAnsi="楷体" w:eastAsia="楷体_GB2312" w:cs="Times New Roman"/>
          <w:sz w:val="32"/>
          <w:szCs w:val="32"/>
          <w:shd w:val="clear" w:color="auto" w:fill="FFFFFF"/>
        </w:rPr>
      </w:pPr>
      <w:r>
        <w:rPr>
          <w:rFonts w:hint="eastAsia" w:ascii="楷体_GB2312" w:hAnsi="楷体" w:eastAsia="楷体_GB2312" w:cs="Times New Roman"/>
          <w:sz w:val="32"/>
          <w:szCs w:val="32"/>
          <w:shd w:val="clear" w:color="auto" w:fill="FFFFFF"/>
        </w:rPr>
        <w:t>（三）发票开具</w:t>
      </w:r>
    </w:p>
    <w:p>
      <w:pPr>
        <w:spacing w:line="560" w:lineRule="exact"/>
        <w:ind w:left="1" w:firstLine="640" w:firstLineChars="200"/>
        <w:rPr>
          <w:rFonts w:ascii="仿宋_GB2312" w:hAnsi="楷体" w:eastAsia="仿宋_GB2312"/>
          <w:sz w:val="32"/>
          <w:szCs w:val="32"/>
        </w:rPr>
      </w:pPr>
      <w:r>
        <w:rPr>
          <w:rFonts w:hint="eastAsia" w:ascii="仿宋_GB2312" w:hAnsi="楷体" w:eastAsia="仿宋_GB2312"/>
          <w:sz w:val="32"/>
          <w:szCs w:val="32"/>
        </w:rPr>
        <w:t>需要提供：发票类型（电子普通发票&amp;增值税专用发票）、单位名称、纳税人识别号、地址、联系电话、开户银行、银行账号。</w:t>
      </w:r>
    </w:p>
    <w:p>
      <w:pPr>
        <w:spacing w:line="560" w:lineRule="exact"/>
        <w:ind w:firstLine="642" w:firstLineChars="200"/>
        <w:jc w:val="left"/>
        <w:rPr>
          <w:rFonts w:ascii="黑体" w:hAnsi="黑体" w:eastAsia="黑体"/>
          <w:b/>
          <w:bCs/>
          <w:sz w:val="32"/>
          <w:szCs w:val="36"/>
        </w:rPr>
      </w:pPr>
      <w:r>
        <w:rPr>
          <w:rFonts w:hint="eastAsia" w:ascii="黑体" w:hAnsi="黑体" w:eastAsia="黑体"/>
          <w:b/>
          <w:bCs/>
          <w:sz w:val="32"/>
          <w:szCs w:val="36"/>
        </w:rPr>
        <w:t>六、报名咨询和联系人</w:t>
      </w:r>
    </w:p>
    <w:p>
      <w:pPr>
        <w:spacing w:line="560" w:lineRule="exact"/>
        <w:ind w:left="1" w:firstLine="640" w:firstLineChars="200"/>
        <w:rPr>
          <w:rFonts w:ascii="仿宋_GB2312" w:hAnsi="仿宋" w:eastAsia="仿宋_GB2312"/>
          <w:sz w:val="32"/>
          <w:szCs w:val="32"/>
        </w:rPr>
      </w:pPr>
      <w:r>
        <w:rPr>
          <w:rFonts w:hint="eastAsia" w:ascii="仿宋_GB2312" w:hAnsi="仿宋" w:eastAsia="仿宋_GB2312"/>
          <w:sz w:val="32"/>
          <w:szCs w:val="32"/>
        </w:rPr>
        <w:t>联系人：吴易安</w:t>
      </w:r>
    </w:p>
    <w:p>
      <w:pPr>
        <w:spacing w:line="560" w:lineRule="exact"/>
        <w:ind w:left="1" w:firstLine="640" w:firstLineChars="200"/>
        <w:rPr>
          <w:rFonts w:ascii="仿宋_GB2312" w:hAnsi="仿宋" w:eastAsia="仿宋_GB2312"/>
          <w:sz w:val="32"/>
          <w:szCs w:val="32"/>
        </w:rPr>
      </w:pPr>
      <w:r>
        <w:rPr>
          <w:rFonts w:hint="eastAsia" w:ascii="仿宋_GB2312" w:hAnsi="仿宋" w:eastAsia="仿宋_GB2312"/>
          <w:sz w:val="32"/>
          <w:szCs w:val="32"/>
        </w:rPr>
        <w:t>电话：18819246695</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邮箱：wuyian@sztechcloud.com.cn</w:t>
      </w:r>
    </w:p>
    <w:p>
      <w:pPr>
        <w:spacing w:line="560" w:lineRule="exact"/>
        <w:ind w:firstLine="642" w:firstLineChars="200"/>
        <w:jc w:val="left"/>
        <w:rPr>
          <w:rFonts w:ascii="黑体" w:hAnsi="黑体" w:eastAsia="黑体"/>
          <w:b/>
          <w:bCs/>
          <w:sz w:val="32"/>
          <w:szCs w:val="36"/>
        </w:rPr>
      </w:pPr>
      <w:r>
        <w:rPr>
          <w:rFonts w:hint="eastAsia" w:ascii="黑体" w:hAnsi="黑体" w:eastAsia="黑体"/>
          <w:b/>
          <w:bCs/>
          <w:sz w:val="32"/>
          <w:szCs w:val="36"/>
        </w:rPr>
        <w:t>七、办学机构简介</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深圳市大湾区金融研究院是由深圳市政府和国家外汇管理局共同支持，国家外汇管理局外汇研究中心和深圳市地方金融监管局、深圳市龙华区政府具体指导设立的非盈利社会组织研究院。研究院以服务粤港澳大湾区国家战略、服务国家金融开放合作为宗旨，聚焦前瞻性、国际化、交叉性金融前沿问题研究。拟建设宏观经济、金融监管、金融科技、资产管理、跨境金融、金融机构等六个研究所和三个实验室，设立理事会、学术委员会和专业委员会。</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究院聚焦五大方向，一是聚焦粤港澳大湾区金融实时监测和深度研究。通过实时监测粤港澳大湾区金融创新发展情况，生成金融系列报告，上报中国人民银行、国家外汇管理局、地方金融主管部门及相关金融监管机构，服务金融改革、金融开放战略以及粤港澳大湾区、中国特色社会主义先行示范区建设大局。同时，及时回应粤港澳大湾区以及香港金融市场的问题、机遇与挑战，为巩固香港国际金融中心地位、联动粤港澳大湾区金融协同发展提供强有力的研究支撑。</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是聚焦以论坛为核心的国际国内产学研交流。设立“大湾区金融论坛”，以粤港澳金融协同发展、提升粤港澳大湾区金融协同一体化水平、巩固香港国际金融中心地位等为主题，集智聚力深度解决粤港澳大湾区发展面临瓶颈与问题。围绕金融制度创新、推动金融开放创新等专题形成相关成果，服务国家重大战略。推动设立智库对外交流平台。与国际知名研究机构共同举办智库会议、学术论坛等交流活动，积极打造具有国际影响力的智库品牌。</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是聚焦央地协作构建金融服务实体经济高地。争取推动国家外汇管理局外汇研究中心研究基地落户大湾区，与其共同开展课题研究、人才交流和博士后联合培养等工作。并争取与北京大学、香港科技大学等高校合作，构建数字金融实验室，推动数据共享开放、金融数据基础设施、金融数据资产确权评估交易体系、金融数据隐私保护与反垄断评测体系等的研究、测试和标准制定。通过争取央行等部委支持，以先行先试、政策试点等方式，推动大湾区成为数字经济尤其是数字金融的研究高地、国家标准的实践策源地、数字金融产业的创新集聚地。</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是聚焦推动金融创新成果转化实施。采取市场化运营方式，打造展示创新成就、聚集创新资源、转化创新成果、融通创新要素、服务创新主体的成果转化平台。探索金融创新成果展示、交易、转化、产业化的新机制。发挥深圳金融科技创新优势，推动建设大数据与跨境金融实验室、隐私计算与数据安全实验室、及数据治理与数字资产实验室。</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是聚焦金融多中心发展智库集群。立足深圳市，设立首家大湾区金融研究院，未来逐步覆盖粤港澳大湾区全区，在香港、澳门、广州、珠海等各地设立多中心，推动形成多中心发展的局面，打造智库综合体。通过辐射和带动作用，助力金融国际化进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Droid Sans Fallback"/>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37DF9"/>
    <w:multiLevelType w:val="multilevel"/>
    <w:tmpl w:val="72C37DF9"/>
    <w:lvl w:ilvl="0" w:tentative="0">
      <w:start w:val="1"/>
      <w:numFmt w:val="chineseCountingThousand"/>
      <w:pStyle w:val="2"/>
      <w:lvlText w:val="%1、"/>
      <w:lvlJc w:val="left"/>
      <w:pPr>
        <w:ind w:left="420" w:hanging="420"/>
      </w:pPr>
      <w:rPr>
        <w:rFonts w:hint="eastAsia"/>
      </w:rPr>
    </w:lvl>
    <w:lvl w:ilvl="1" w:tentative="0">
      <w:start w:val="1"/>
      <w:numFmt w:val="decimal"/>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mYTQwMTg5ZTY5MzRkOWRjODQxYzU4ZjIzYzZjMzUifQ=="/>
  </w:docVars>
  <w:rsids>
    <w:rsidRoot w:val="00E05B87"/>
    <w:rsid w:val="00003B1F"/>
    <w:rsid w:val="000118E1"/>
    <w:rsid w:val="00045E3E"/>
    <w:rsid w:val="00066665"/>
    <w:rsid w:val="000A228F"/>
    <w:rsid w:val="000A3BAE"/>
    <w:rsid w:val="000A4F71"/>
    <w:rsid w:val="000D00EA"/>
    <w:rsid w:val="000D33A1"/>
    <w:rsid w:val="000D3AC9"/>
    <w:rsid w:val="000D5DDF"/>
    <w:rsid w:val="000E1F5C"/>
    <w:rsid w:val="000E6657"/>
    <w:rsid w:val="000E6658"/>
    <w:rsid w:val="00100B87"/>
    <w:rsid w:val="00104DAA"/>
    <w:rsid w:val="0011647A"/>
    <w:rsid w:val="001262EB"/>
    <w:rsid w:val="0013427E"/>
    <w:rsid w:val="00140863"/>
    <w:rsid w:val="0015050F"/>
    <w:rsid w:val="001540DA"/>
    <w:rsid w:val="00194CDF"/>
    <w:rsid w:val="001A3C4D"/>
    <w:rsid w:val="001A457A"/>
    <w:rsid w:val="001B23FA"/>
    <w:rsid w:val="001C0C90"/>
    <w:rsid w:val="001E270E"/>
    <w:rsid w:val="001F0643"/>
    <w:rsid w:val="001F0E3C"/>
    <w:rsid w:val="00226D89"/>
    <w:rsid w:val="00253280"/>
    <w:rsid w:val="002611BB"/>
    <w:rsid w:val="002C0B8A"/>
    <w:rsid w:val="002E2E72"/>
    <w:rsid w:val="002E7EB3"/>
    <w:rsid w:val="003513BF"/>
    <w:rsid w:val="00361718"/>
    <w:rsid w:val="00366AF0"/>
    <w:rsid w:val="00375621"/>
    <w:rsid w:val="00382893"/>
    <w:rsid w:val="00392BF1"/>
    <w:rsid w:val="003A1D0F"/>
    <w:rsid w:val="003C28FC"/>
    <w:rsid w:val="003C3CD7"/>
    <w:rsid w:val="003C51D3"/>
    <w:rsid w:val="003C5624"/>
    <w:rsid w:val="003D16BE"/>
    <w:rsid w:val="003D2A3F"/>
    <w:rsid w:val="003F18E5"/>
    <w:rsid w:val="00400B5E"/>
    <w:rsid w:val="0040195F"/>
    <w:rsid w:val="00412C1F"/>
    <w:rsid w:val="00414295"/>
    <w:rsid w:val="00425E4D"/>
    <w:rsid w:val="0042791E"/>
    <w:rsid w:val="0045531D"/>
    <w:rsid w:val="004559FA"/>
    <w:rsid w:val="004603EC"/>
    <w:rsid w:val="004714FD"/>
    <w:rsid w:val="00483837"/>
    <w:rsid w:val="004B702D"/>
    <w:rsid w:val="004E3DE7"/>
    <w:rsid w:val="004E5619"/>
    <w:rsid w:val="004F76DD"/>
    <w:rsid w:val="00503F72"/>
    <w:rsid w:val="00506945"/>
    <w:rsid w:val="00517F17"/>
    <w:rsid w:val="00534B83"/>
    <w:rsid w:val="00534C7A"/>
    <w:rsid w:val="0054125E"/>
    <w:rsid w:val="00552E47"/>
    <w:rsid w:val="00555FEA"/>
    <w:rsid w:val="00560A31"/>
    <w:rsid w:val="00562FBC"/>
    <w:rsid w:val="00565AE5"/>
    <w:rsid w:val="00574876"/>
    <w:rsid w:val="00595B15"/>
    <w:rsid w:val="005B19C6"/>
    <w:rsid w:val="005F1924"/>
    <w:rsid w:val="00603576"/>
    <w:rsid w:val="00611791"/>
    <w:rsid w:val="00630D75"/>
    <w:rsid w:val="00637CC2"/>
    <w:rsid w:val="006516F5"/>
    <w:rsid w:val="00666D80"/>
    <w:rsid w:val="006858E5"/>
    <w:rsid w:val="006A3C77"/>
    <w:rsid w:val="006A4729"/>
    <w:rsid w:val="006C26E2"/>
    <w:rsid w:val="006D6EF1"/>
    <w:rsid w:val="0070155B"/>
    <w:rsid w:val="00701B44"/>
    <w:rsid w:val="0070569B"/>
    <w:rsid w:val="0071054D"/>
    <w:rsid w:val="0073299E"/>
    <w:rsid w:val="007510A6"/>
    <w:rsid w:val="00777EA7"/>
    <w:rsid w:val="00780FE6"/>
    <w:rsid w:val="007943B4"/>
    <w:rsid w:val="007A47E2"/>
    <w:rsid w:val="007B362B"/>
    <w:rsid w:val="007B4F52"/>
    <w:rsid w:val="007B543D"/>
    <w:rsid w:val="007B6279"/>
    <w:rsid w:val="007C0784"/>
    <w:rsid w:val="007D1CA9"/>
    <w:rsid w:val="007D6FDB"/>
    <w:rsid w:val="007D73E8"/>
    <w:rsid w:val="008027A7"/>
    <w:rsid w:val="00807401"/>
    <w:rsid w:val="00820558"/>
    <w:rsid w:val="00841C5C"/>
    <w:rsid w:val="00843DAD"/>
    <w:rsid w:val="00844B7B"/>
    <w:rsid w:val="008478C3"/>
    <w:rsid w:val="00862030"/>
    <w:rsid w:val="0086385E"/>
    <w:rsid w:val="00866DA6"/>
    <w:rsid w:val="008855C4"/>
    <w:rsid w:val="00890AA9"/>
    <w:rsid w:val="008A339D"/>
    <w:rsid w:val="008B1974"/>
    <w:rsid w:val="008B26B5"/>
    <w:rsid w:val="008B4469"/>
    <w:rsid w:val="008D6939"/>
    <w:rsid w:val="008F1486"/>
    <w:rsid w:val="008F784F"/>
    <w:rsid w:val="009175F3"/>
    <w:rsid w:val="00921F77"/>
    <w:rsid w:val="00932203"/>
    <w:rsid w:val="00940980"/>
    <w:rsid w:val="00950F67"/>
    <w:rsid w:val="009904D9"/>
    <w:rsid w:val="009B0FEE"/>
    <w:rsid w:val="009C533E"/>
    <w:rsid w:val="00A12B05"/>
    <w:rsid w:val="00A13EB1"/>
    <w:rsid w:val="00A34390"/>
    <w:rsid w:val="00A51D12"/>
    <w:rsid w:val="00A56F7F"/>
    <w:rsid w:val="00A64CDD"/>
    <w:rsid w:val="00A85728"/>
    <w:rsid w:val="00AB4F09"/>
    <w:rsid w:val="00AC5D4A"/>
    <w:rsid w:val="00AF1885"/>
    <w:rsid w:val="00B12800"/>
    <w:rsid w:val="00B52234"/>
    <w:rsid w:val="00B52DB6"/>
    <w:rsid w:val="00B55063"/>
    <w:rsid w:val="00B60663"/>
    <w:rsid w:val="00B92030"/>
    <w:rsid w:val="00BA016F"/>
    <w:rsid w:val="00BD5D4A"/>
    <w:rsid w:val="00BE28A0"/>
    <w:rsid w:val="00BF3E9B"/>
    <w:rsid w:val="00BF606E"/>
    <w:rsid w:val="00BF7939"/>
    <w:rsid w:val="00C02F9E"/>
    <w:rsid w:val="00C07C90"/>
    <w:rsid w:val="00C254E0"/>
    <w:rsid w:val="00C33FB0"/>
    <w:rsid w:val="00C354DC"/>
    <w:rsid w:val="00C45467"/>
    <w:rsid w:val="00C809CE"/>
    <w:rsid w:val="00C8494F"/>
    <w:rsid w:val="00C86C89"/>
    <w:rsid w:val="00CA6625"/>
    <w:rsid w:val="00CB6C22"/>
    <w:rsid w:val="00CC000B"/>
    <w:rsid w:val="00CC006F"/>
    <w:rsid w:val="00CD2ECF"/>
    <w:rsid w:val="00CE2470"/>
    <w:rsid w:val="00D155BD"/>
    <w:rsid w:val="00D225DC"/>
    <w:rsid w:val="00D52676"/>
    <w:rsid w:val="00D61EF2"/>
    <w:rsid w:val="00D660DB"/>
    <w:rsid w:val="00D844A3"/>
    <w:rsid w:val="00D9001C"/>
    <w:rsid w:val="00DC06AC"/>
    <w:rsid w:val="00DC400B"/>
    <w:rsid w:val="00DC4C33"/>
    <w:rsid w:val="00DF5FD6"/>
    <w:rsid w:val="00E037A7"/>
    <w:rsid w:val="00E05B87"/>
    <w:rsid w:val="00E14D0D"/>
    <w:rsid w:val="00E654E4"/>
    <w:rsid w:val="00E8137A"/>
    <w:rsid w:val="00E820EC"/>
    <w:rsid w:val="00E94412"/>
    <w:rsid w:val="00EC1A19"/>
    <w:rsid w:val="00EC4F8F"/>
    <w:rsid w:val="00EF332A"/>
    <w:rsid w:val="00F0696A"/>
    <w:rsid w:val="00F24C0B"/>
    <w:rsid w:val="00F41C45"/>
    <w:rsid w:val="00F5343C"/>
    <w:rsid w:val="00F549F2"/>
    <w:rsid w:val="00F549F4"/>
    <w:rsid w:val="00F54A43"/>
    <w:rsid w:val="00F56CCB"/>
    <w:rsid w:val="00F8182B"/>
    <w:rsid w:val="00F85D50"/>
    <w:rsid w:val="00FB5E12"/>
    <w:rsid w:val="00FC63E0"/>
    <w:rsid w:val="00FC64C0"/>
    <w:rsid w:val="00FC6C07"/>
    <w:rsid w:val="095D64F2"/>
    <w:rsid w:val="0C324B95"/>
    <w:rsid w:val="0C577C91"/>
    <w:rsid w:val="111E1B8C"/>
    <w:rsid w:val="13F6294C"/>
    <w:rsid w:val="170C0D94"/>
    <w:rsid w:val="1F2E6729"/>
    <w:rsid w:val="213750A5"/>
    <w:rsid w:val="237E3C00"/>
    <w:rsid w:val="265C0D35"/>
    <w:rsid w:val="2D524193"/>
    <w:rsid w:val="2D70630A"/>
    <w:rsid w:val="2D8A43D9"/>
    <w:rsid w:val="2DC8262F"/>
    <w:rsid w:val="306E3B3E"/>
    <w:rsid w:val="35BB37D7"/>
    <w:rsid w:val="35D361D9"/>
    <w:rsid w:val="3A086DB2"/>
    <w:rsid w:val="3BD5009B"/>
    <w:rsid w:val="40DE086C"/>
    <w:rsid w:val="4977185E"/>
    <w:rsid w:val="510F05CE"/>
    <w:rsid w:val="58F3293A"/>
    <w:rsid w:val="5CA50038"/>
    <w:rsid w:val="6B493ED1"/>
    <w:rsid w:val="6D6C31B5"/>
    <w:rsid w:val="71724535"/>
    <w:rsid w:val="72A526E9"/>
    <w:rsid w:val="738D38A8"/>
    <w:rsid w:val="744F6DB0"/>
    <w:rsid w:val="790463BB"/>
    <w:rsid w:val="FAFA7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Lines/>
      <w:numPr>
        <w:ilvl w:val="0"/>
        <w:numId w:val="1"/>
      </w:numPr>
      <w:spacing w:beforeLines="50" w:afterLines="50"/>
      <w:outlineLvl w:val="0"/>
    </w:pPr>
    <w:rPr>
      <w:rFonts w:ascii="Times New Roman" w:hAnsi="Times New Roman" w:eastAsia="幼圆" w:cs="Times New Roman"/>
      <w:b/>
      <w:bCs/>
      <w:color w:val="C00000"/>
      <w:kern w:val="44"/>
      <w:sz w:val="32"/>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99"/>
    <w:pPr>
      <w:widowControl/>
      <w:kinsoku w:val="0"/>
      <w:autoSpaceDE w:val="0"/>
      <w:autoSpaceDN w:val="0"/>
      <w:adjustRightInd w:val="0"/>
      <w:snapToGrid w:val="0"/>
      <w:jc w:val="left"/>
      <w:textAlignment w:val="baseline"/>
    </w:pPr>
    <w:rPr>
      <w:rFonts w:ascii="Arial" w:hAnsi="Arial" w:eastAsia="黑体" w:cs="Arial"/>
      <w:color w:val="000000"/>
      <w:kern w:val="0"/>
      <w:sz w:val="20"/>
      <w:szCs w:val="20"/>
    </w:rPr>
  </w:style>
  <w:style w:type="paragraph" w:styleId="5">
    <w:name w:val="annotation text"/>
    <w:basedOn w:val="1"/>
    <w:link w:val="21"/>
    <w:unhideWhenUsed/>
    <w:qFormat/>
    <w:uiPriority w:val="99"/>
    <w:pPr>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5"/>
    <w:next w:val="5"/>
    <w:link w:val="22"/>
    <w:semiHidden/>
    <w:unhideWhenUsed/>
    <w:uiPriority w:val="99"/>
    <w:rPr>
      <w:b/>
      <w:bCs/>
    </w:rPr>
  </w:style>
  <w:style w:type="table" w:styleId="11">
    <w:name w:val="Table Grid"/>
    <w:basedOn w:val="10"/>
    <w:qFormat/>
    <w:uiPriority w:val="59"/>
    <w:rPr>
      <w:rFonts w:eastAsia="Times New Roman"/>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basedOn w:val="12"/>
    <w:semiHidden/>
    <w:unhideWhenUsed/>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1 字符"/>
    <w:basedOn w:val="12"/>
    <w:link w:val="2"/>
    <w:qFormat/>
    <w:uiPriority w:val="0"/>
    <w:rPr>
      <w:rFonts w:ascii="Times New Roman" w:hAnsi="Times New Roman" w:eastAsia="幼圆" w:cs="Times New Roman"/>
      <w:b/>
      <w:bCs/>
      <w:color w:val="C00000"/>
      <w:kern w:val="44"/>
      <w:sz w:val="32"/>
    </w:rPr>
  </w:style>
  <w:style w:type="character" w:customStyle="1" w:styleId="18">
    <w:name w:val="标题 2 字符"/>
    <w:basedOn w:val="12"/>
    <w:link w:val="3"/>
    <w:semiHidden/>
    <w:qFormat/>
    <w:uiPriority w:val="9"/>
    <w:rPr>
      <w:rFonts w:asciiTheme="majorHAnsi" w:hAnsiTheme="majorHAnsi" w:eastAsiaTheme="majorEastAsia" w:cstheme="majorBidi"/>
      <w:b/>
      <w:bCs/>
      <w:kern w:val="2"/>
      <w:sz w:val="32"/>
      <w:szCs w:val="32"/>
    </w:rPr>
  </w:style>
  <w:style w:type="paragraph" w:customStyle="1" w:styleId="19">
    <w:name w:val="Other|1"/>
    <w:basedOn w:val="1"/>
    <w:qFormat/>
    <w:uiPriority w:val="0"/>
    <w:rPr>
      <w:rFonts w:ascii="宋体" w:hAnsi="宋体" w:eastAsia="宋体" w:cs="宋体"/>
      <w:sz w:val="20"/>
      <w:szCs w:val="20"/>
      <w:lang w:val="zh-TW" w:eastAsia="zh-TW" w:bidi="zh-TW"/>
    </w:rPr>
  </w:style>
  <w:style w:type="table" w:customStyle="1" w:styleId="20">
    <w:name w:val="Table Normal"/>
    <w:basedOn w:val="10"/>
    <w:qFormat/>
    <w:uiPriority w:val="0"/>
    <w:rPr>
      <w:rFonts w:eastAsia="Times New Roman"/>
    </w:rPr>
    <w:tblPr>
      <w:tblCellMar>
        <w:left w:w="0" w:type="dxa"/>
        <w:right w:w="0" w:type="dxa"/>
      </w:tblCellMar>
    </w:tblPr>
  </w:style>
  <w:style w:type="character" w:customStyle="1" w:styleId="21">
    <w:name w:val="批注文字 字符"/>
    <w:basedOn w:val="12"/>
    <w:link w:val="5"/>
    <w:uiPriority w:val="99"/>
    <w:rPr>
      <w:rFonts w:asciiTheme="minorHAnsi" w:hAnsiTheme="minorHAnsi" w:eastAsiaTheme="minorEastAsia" w:cstheme="minorBidi"/>
      <w:kern w:val="2"/>
      <w:sz w:val="21"/>
      <w:szCs w:val="22"/>
    </w:rPr>
  </w:style>
  <w:style w:type="character" w:customStyle="1" w:styleId="22">
    <w:name w:val="批注主题 字符"/>
    <w:basedOn w:val="21"/>
    <w:link w:val="9"/>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506</Words>
  <Characters>2890</Characters>
  <Lines>24</Lines>
  <Paragraphs>6</Paragraphs>
  <TotalTime>355</TotalTime>
  <ScaleCrop>false</ScaleCrop>
  <LinksUpToDate>false</LinksUpToDate>
  <CharactersWithSpaces>3390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2022-07-04T18:27:00Z</dcterms:created>
  <dc:creator>sysu</dc:creator>
  <cp:lastModifiedBy>xuxuelian</cp:lastModifiedBy>
  <cp:lastPrinted>2022-07-05T15:10:00Z</cp:lastPrinted>
  <dcterms:modified xsi:type="dcterms:W3CDTF">2022-12-05T10:31:43Z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371D9B07BC124DF4A8B3700AAF322884</vt:lpwstr>
  </property>
</Properties>
</file>