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宋体"/>
          <w:sz w:val="30"/>
          <w:szCs w:val="30"/>
          <w:lang w:eastAsia="zh-CN"/>
        </w:rPr>
      </w:pPr>
      <w:bookmarkStart w:id="0" w:name="_GoBack"/>
      <w:r>
        <w:rPr>
          <w:rFonts w:hint="eastAsia" w:ascii="宋体" w:hAnsi="宋体" w:eastAsia="宋体"/>
          <w:b/>
          <w:bCs/>
          <w:sz w:val="44"/>
          <w:szCs w:val="44"/>
        </w:rPr>
        <w:t>中山大学课程计划及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联系方式</w:t>
      </w:r>
    </w:p>
    <w:bookmarkEnd w:id="0"/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一、课程目标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培养具有全球视野、本土智慧的复合型金融领军人才，搭建资源共享、互利共赢的交流平台，为深圳金融业发展夯实智力基础，巩固提升深圳金融中心城市地位。</w:t>
      </w:r>
    </w:p>
    <w:p>
      <w:pPr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</w:t>
      </w:r>
      <w:r>
        <w:rPr>
          <w:rFonts w:hint="eastAsia" w:ascii="黑体" w:hAnsi="黑体" w:eastAsia="黑体"/>
          <w:sz w:val="30"/>
          <w:szCs w:val="30"/>
          <w:lang w:eastAsia="zh-CN"/>
        </w:rPr>
        <w:t>、</w:t>
      </w:r>
      <w:r>
        <w:rPr>
          <w:rFonts w:hint="eastAsia" w:ascii="黑体" w:hAnsi="黑体" w:eastAsia="黑体"/>
          <w:sz w:val="30"/>
          <w:szCs w:val="30"/>
        </w:rPr>
        <w:t>安排亮点</w:t>
      </w:r>
    </w:p>
    <w:p>
      <w:pPr>
        <w:ind w:firstLine="602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1.</w:t>
      </w:r>
      <w:r>
        <w:rPr>
          <w:rFonts w:hint="eastAsia" w:ascii="仿宋_GB2312" w:eastAsia="仿宋_GB2312"/>
          <w:b/>
          <w:bCs/>
          <w:sz w:val="30"/>
          <w:szCs w:val="30"/>
        </w:rPr>
        <w:t>百年底蕴、全学科优势。</w:t>
      </w:r>
      <w:r>
        <w:rPr>
          <w:rFonts w:hint="eastAsia" w:ascii="仿宋_GB2312" w:eastAsia="仿宋_GB2312"/>
          <w:sz w:val="30"/>
          <w:szCs w:val="30"/>
        </w:rPr>
        <w:t>传承百年办学传统,发挥全学科综合性“双一流”大学优势,尤其是工商管理、计算机与通信工程、新工科、生物医药等领域的学科优势，兼具前瞻性与创新性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ind w:firstLine="602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2.</w:t>
      </w:r>
      <w:r>
        <w:rPr>
          <w:rFonts w:hint="eastAsia" w:ascii="仿宋_GB2312" w:eastAsia="仿宋_GB2312"/>
          <w:b/>
          <w:bCs/>
          <w:sz w:val="30"/>
          <w:szCs w:val="30"/>
        </w:rPr>
        <w:t>历史积淀、资源链接。</w:t>
      </w:r>
      <w:r>
        <w:rPr>
          <w:rFonts w:hint="eastAsia" w:ascii="仿宋_GB2312" w:eastAsia="仿宋_GB2312"/>
          <w:sz w:val="30"/>
          <w:szCs w:val="30"/>
        </w:rPr>
        <w:t>二十二年高管教育经验，专业的教学管理、丰富的校友资源、强大的师资团队提供了有力支撑和坚实保障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ind w:firstLine="602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3.</w:t>
      </w:r>
      <w:r>
        <w:rPr>
          <w:rFonts w:hint="eastAsia" w:ascii="仿宋_GB2312" w:eastAsia="仿宋_GB2312"/>
          <w:b/>
          <w:bCs/>
          <w:sz w:val="30"/>
          <w:szCs w:val="30"/>
        </w:rPr>
        <w:t>湾区联动、广深共创。</w:t>
      </w:r>
      <w:r>
        <w:rPr>
          <w:rFonts w:hint="eastAsia" w:ascii="仿宋_GB2312" w:eastAsia="仿宋_GB2312"/>
          <w:sz w:val="30"/>
          <w:szCs w:val="30"/>
        </w:rPr>
        <w:t>扎根广州、深圳、珠海三个粤港澳大湾区核心城市办学，以广深金融创新联动为抓手，全面深化交流、协同发展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4.</w:t>
      </w:r>
      <w:r>
        <w:rPr>
          <w:rFonts w:hint="eastAsia" w:ascii="仿宋_GB2312" w:eastAsia="仿宋_GB2312"/>
          <w:b/>
          <w:bCs/>
          <w:sz w:val="30"/>
          <w:szCs w:val="30"/>
        </w:rPr>
        <w:t>两载耕耘、领军传承。</w:t>
      </w:r>
      <w:r>
        <w:rPr>
          <w:rFonts w:hint="eastAsia" w:ascii="仿宋_GB2312" w:eastAsia="仿宋_GB2312"/>
          <w:sz w:val="30"/>
          <w:szCs w:val="30"/>
        </w:rPr>
        <w:t>汲取过往两年改项目的宝贵资源与经验，聚集了一大批鹏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城</w:t>
      </w:r>
      <w:r>
        <w:rPr>
          <w:rFonts w:hint="eastAsia" w:ascii="仿宋_GB2312" w:eastAsia="仿宋_GB2312"/>
          <w:sz w:val="30"/>
          <w:szCs w:val="30"/>
        </w:rPr>
        <w:t>金融领军人才，续写共创共融、合作共赢新篇章。</w:t>
      </w:r>
    </w:p>
    <w:p>
      <w:pPr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三、主要</w:t>
      </w:r>
      <w:r>
        <w:rPr>
          <w:rFonts w:hint="eastAsia" w:ascii="黑体" w:hAnsi="黑体" w:eastAsia="黑体"/>
          <w:sz w:val="30"/>
          <w:szCs w:val="30"/>
          <w:lang w:eastAsia="zh-CN"/>
        </w:rPr>
        <w:t>内容</w:t>
      </w:r>
    </w:p>
    <w:tbl>
      <w:tblPr>
        <w:tblStyle w:val="9"/>
        <w:tblW w:w="8217" w:type="dxa"/>
        <w:tblInd w:w="0" w:type="dxa"/>
        <w:tblBorders>
          <w:top w:val="single" w:color="252525" w:themeColor="text1" w:themeTint="D9" w:sz="4" w:space="0"/>
          <w:left w:val="single" w:color="252525" w:themeColor="text1" w:themeTint="D9" w:sz="4" w:space="0"/>
          <w:bottom w:val="single" w:color="252525" w:themeColor="text1" w:themeTint="D9" w:sz="4" w:space="0"/>
          <w:right w:val="single" w:color="252525" w:themeColor="text1" w:themeTint="D9" w:sz="4" w:space="0"/>
          <w:insideH w:val="single" w:color="252525" w:themeColor="text1" w:themeTint="D9" w:sz="4" w:space="0"/>
          <w:insideV w:val="single" w:color="252525" w:themeColor="text1" w:themeTint="D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662"/>
      </w:tblGrid>
      <w:tr>
        <w:tblPrEx>
          <w:tblBorders>
            <w:top w:val="single" w:color="252525" w:themeColor="text1" w:themeTint="D9" w:sz="4" w:space="0"/>
            <w:left w:val="single" w:color="252525" w:themeColor="text1" w:themeTint="D9" w:sz="4" w:space="0"/>
            <w:bottom w:val="single" w:color="252525" w:themeColor="text1" w:themeTint="D9" w:sz="4" w:space="0"/>
            <w:right w:val="single" w:color="252525" w:themeColor="text1" w:themeTint="D9" w:sz="4" w:space="0"/>
            <w:insideH w:val="single" w:color="252525" w:themeColor="text1" w:themeTint="D9" w:sz="4" w:space="0"/>
            <w:insideV w:val="single" w:color="252525" w:themeColor="text1" w:themeTint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5" w:type="dxa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模块</w:t>
            </w:r>
          </w:p>
        </w:tc>
        <w:tc>
          <w:tcPr>
            <w:tcW w:w="6662" w:type="dxa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学习主题</w:t>
            </w:r>
          </w:p>
        </w:tc>
      </w:tr>
      <w:tr>
        <w:tblPrEx>
          <w:tblBorders>
            <w:top w:val="single" w:color="252525" w:themeColor="text1" w:themeTint="D9" w:sz="4" w:space="0"/>
            <w:left w:val="single" w:color="252525" w:themeColor="text1" w:themeTint="D9" w:sz="4" w:space="0"/>
            <w:bottom w:val="single" w:color="252525" w:themeColor="text1" w:themeTint="D9" w:sz="4" w:space="0"/>
            <w:right w:val="single" w:color="252525" w:themeColor="text1" w:themeTint="D9" w:sz="4" w:space="0"/>
            <w:insideH w:val="single" w:color="252525" w:themeColor="text1" w:themeTint="D9" w:sz="4" w:space="0"/>
            <w:insideV w:val="single" w:color="252525" w:themeColor="text1" w:themeTint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国际政治经济形势研判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1</w:t>
            </w: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.</w:t>
            </w: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通胀给全球经济金融带来的影响与挑战</w:t>
            </w:r>
          </w:p>
        </w:tc>
      </w:tr>
      <w:tr>
        <w:tblPrEx>
          <w:tblBorders>
            <w:top w:val="single" w:color="252525" w:themeColor="text1" w:themeTint="D9" w:sz="4" w:space="0"/>
            <w:left w:val="single" w:color="252525" w:themeColor="text1" w:themeTint="D9" w:sz="4" w:space="0"/>
            <w:bottom w:val="single" w:color="252525" w:themeColor="text1" w:themeTint="D9" w:sz="4" w:space="0"/>
            <w:right w:val="single" w:color="252525" w:themeColor="text1" w:themeTint="D9" w:sz="4" w:space="0"/>
            <w:insideH w:val="single" w:color="252525" w:themeColor="text1" w:themeTint="D9" w:sz="4" w:space="0"/>
            <w:insideV w:val="single" w:color="252525" w:themeColor="text1" w:themeTint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2</w:t>
            </w: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.</w:t>
            </w: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新格局、新挑战、新方略——国际政治军事形势与国家安全</w:t>
            </w:r>
          </w:p>
        </w:tc>
      </w:tr>
      <w:tr>
        <w:tblPrEx>
          <w:tblBorders>
            <w:top w:val="single" w:color="252525" w:themeColor="text1" w:themeTint="D9" w:sz="4" w:space="0"/>
            <w:left w:val="single" w:color="252525" w:themeColor="text1" w:themeTint="D9" w:sz="4" w:space="0"/>
            <w:bottom w:val="single" w:color="252525" w:themeColor="text1" w:themeTint="D9" w:sz="4" w:space="0"/>
            <w:right w:val="single" w:color="252525" w:themeColor="text1" w:themeTint="D9" w:sz="4" w:space="0"/>
            <w:insideH w:val="single" w:color="252525" w:themeColor="text1" w:themeTint="D9" w:sz="4" w:space="0"/>
            <w:insideV w:val="single" w:color="252525" w:themeColor="text1" w:themeTint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3.</w:t>
            </w: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全球贸易秩序重构与中国应对</w:t>
            </w:r>
          </w:p>
        </w:tc>
      </w:tr>
      <w:tr>
        <w:tblPrEx>
          <w:tblBorders>
            <w:top w:val="single" w:color="252525" w:themeColor="text1" w:themeTint="D9" w:sz="4" w:space="0"/>
            <w:left w:val="single" w:color="252525" w:themeColor="text1" w:themeTint="D9" w:sz="4" w:space="0"/>
            <w:bottom w:val="single" w:color="252525" w:themeColor="text1" w:themeTint="D9" w:sz="4" w:space="0"/>
            <w:right w:val="single" w:color="252525" w:themeColor="text1" w:themeTint="D9" w:sz="4" w:space="0"/>
            <w:insideH w:val="single" w:color="252525" w:themeColor="text1" w:themeTint="D9" w:sz="4" w:space="0"/>
            <w:insideV w:val="single" w:color="252525" w:themeColor="text1" w:themeTint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4.</w:t>
            </w: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“后疫情时代”的信息茧房与未来世界秩序</w:t>
            </w:r>
          </w:p>
        </w:tc>
      </w:tr>
      <w:tr>
        <w:tblPrEx>
          <w:tblBorders>
            <w:top w:val="single" w:color="252525" w:themeColor="text1" w:themeTint="D9" w:sz="4" w:space="0"/>
            <w:left w:val="single" w:color="252525" w:themeColor="text1" w:themeTint="D9" w:sz="4" w:space="0"/>
            <w:bottom w:val="single" w:color="252525" w:themeColor="text1" w:themeTint="D9" w:sz="4" w:space="0"/>
            <w:right w:val="single" w:color="252525" w:themeColor="text1" w:themeTint="D9" w:sz="4" w:space="0"/>
            <w:insideH w:val="single" w:color="252525" w:themeColor="text1" w:themeTint="D9" w:sz="4" w:space="0"/>
            <w:insideV w:val="single" w:color="252525" w:themeColor="text1" w:themeTint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国家重大发展战略研究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5</w:t>
            </w: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.</w:t>
            </w: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十四五时期中国经济发展趋势及新发展格局</w:t>
            </w:r>
          </w:p>
        </w:tc>
      </w:tr>
      <w:tr>
        <w:tblPrEx>
          <w:tblBorders>
            <w:top w:val="single" w:color="252525" w:themeColor="text1" w:themeTint="D9" w:sz="4" w:space="0"/>
            <w:left w:val="single" w:color="252525" w:themeColor="text1" w:themeTint="D9" w:sz="4" w:space="0"/>
            <w:bottom w:val="single" w:color="252525" w:themeColor="text1" w:themeTint="D9" w:sz="4" w:space="0"/>
            <w:right w:val="single" w:color="252525" w:themeColor="text1" w:themeTint="D9" w:sz="4" w:space="0"/>
            <w:insideH w:val="single" w:color="252525" w:themeColor="text1" w:themeTint="D9" w:sz="4" w:space="0"/>
            <w:insideV w:val="single" w:color="252525" w:themeColor="text1" w:themeTint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6</w:t>
            </w: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.</w:t>
            </w: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以金融国际化为抓手、推进“双碳”计划构建绿色中国</w:t>
            </w:r>
          </w:p>
        </w:tc>
      </w:tr>
      <w:tr>
        <w:tblPrEx>
          <w:tblBorders>
            <w:top w:val="single" w:color="252525" w:themeColor="text1" w:themeTint="D9" w:sz="4" w:space="0"/>
            <w:left w:val="single" w:color="252525" w:themeColor="text1" w:themeTint="D9" w:sz="4" w:space="0"/>
            <w:bottom w:val="single" w:color="252525" w:themeColor="text1" w:themeTint="D9" w:sz="4" w:space="0"/>
            <w:right w:val="single" w:color="252525" w:themeColor="text1" w:themeTint="D9" w:sz="4" w:space="0"/>
            <w:insideH w:val="single" w:color="252525" w:themeColor="text1" w:themeTint="D9" w:sz="4" w:space="0"/>
            <w:insideV w:val="single" w:color="252525" w:themeColor="text1" w:themeTint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7</w:t>
            </w: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.</w:t>
            </w: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积极应对人口老龄化——社会保障体系的创新与完善</w:t>
            </w:r>
          </w:p>
        </w:tc>
      </w:tr>
      <w:tr>
        <w:tblPrEx>
          <w:tblBorders>
            <w:top w:val="single" w:color="252525" w:themeColor="text1" w:themeTint="D9" w:sz="4" w:space="0"/>
            <w:left w:val="single" w:color="252525" w:themeColor="text1" w:themeTint="D9" w:sz="4" w:space="0"/>
            <w:bottom w:val="single" w:color="252525" w:themeColor="text1" w:themeTint="D9" w:sz="4" w:space="0"/>
            <w:right w:val="single" w:color="252525" w:themeColor="text1" w:themeTint="D9" w:sz="4" w:space="0"/>
            <w:insideH w:val="single" w:color="252525" w:themeColor="text1" w:themeTint="D9" w:sz="4" w:space="0"/>
            <w:insideV w:val="single" w:color="252525" w:themeColor="text1" w:themeTint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8．全面培育三链融合、带动粤港澳协同发展</w:t>
            </w:r>
          </w:p>
        </w:tc>
      </w:tr>
      <w:tr>
        <w:tblPrEx>
          <w:tblBorders>
            <w:top w:val="single" w:color="252525" w:themeColor="text1" w:themeTint="D9" w:sz="4" w:space="0"/>
            <w:left w:val="single" w:color="252525" w:themeColor="text1" w:themeTint="D9" w:sz="4" w:space="0"/>
            <w:bottom w:val="single" w:color="252525" w:themeColor="text1" w:themeTint="D9" w:sz="4" w:space="0"/>
            <w:right w:val="single" w:color="252525" w:themeColor="text1" w:themeTint="D9" w:sz="4" w:space="0"/>
            <w:insideH w:val="single" w:color="252525" w:themeColor="text1" w:themeTint="D9" w:sz="4" w:space="0"/>
            <w:insideV w:val="single" w:color="252525" w:themeColor="text1" w:themeTint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重点产业发展趋势分析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9.</w:t>
            </w: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5G如何重塑数字化未来</w:t>
            </w:r>
          </w:p>
        </w:tc>
      </w:tr>
      <w:tr>
        <w:tblPrEx>
          <w:tblBorders>
            <w:top w:val="single" w:color="252525" w:themeColor="text1" w:themeTint="D9" w:sz="4" w:space="0"/>
            <w:left w:val="single" w:color="252525" w:themeColor="text1" w:themeTint="D9" w:sz="4" w:space="0"/>
            <w:bottom w:val="single" w:color="252525" w:themeColor="text1" w:themeTint="D9" w:sz="4" w:space="0"/>
            <w:right w:val="single" w:color="252525" w:themeColor="text1" w:themeTint="D9" w:sz="4" w:space="0"/>
            <w:insideH w:val="single" w:color="252525" w:themeColor="text1" w:themeTint="D9" w:sz="4" w:space="0"/>
            <w:insideV w:val="single" w:color="252525" w:themeColor="text1" w:themeTint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10.</w:t>
            </w: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数字金融的风口与风险——兼论数据治理与数据产权</w:t>
            </w:r>
          </w:p>
        </w:tc>
      </w:tr>
      <w:tr>
        <w:tblPrEx>
          <w:tblBorders>
            <w:top w:val="single" w:color="252525" w:themeColor="text1" w:themeTint="D9" w:sz="4" w:space="0"/>
            <w:left w:val="single" w:color="252525" w:themeColor="text1" w:themeTint="D9" w:sz="4" w:space="0"/>
            <w:bottom w:val="single" w:color="252525" w:themeColor="text1" w:themeTint="D9" w:sz="4" w:space="0"/>
            <w:right w:val="single" w:color="252525" w:themeColor="text1" w:themeTint="D9" w:sz="4" w:space="0"/>
            <w:insideH w:val="single" w:color="252525" w:themeColor="text1" w:themeTint="D9" w:sz="4" w:space="0"/>
            <w:insideV w:val="single" w:color="252525" w:themeColor="text1" w:themeTint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1</w:t>
            </w: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1.</w:t>
            </w: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中国资本市场的对外开放</w:t>
            </w:r>
          </w:p>
        </w:tc>
      </w:tr>
      <w:tr>
        <w:tblPrEx>
          <w:tblBorders>
            <w:top w:val="single" w:color="252525" w:themeColor="text1" w:themeTint="D9" w:sz="4" w:space="0"/>
            <w:left w:val="single" w:color="252525" w:themeColor="text1" w:themeTint="D9" w:sz="4" w:space="0"/>
            <w:bottom w:val="single" w:color="252525" w:themeColor="text1" w:themeTint="D9" w:sz="4" w:space="0"/>
            <w:right w:val="single" w:color="252525" w:themeColor="text1" w:themeTint="D9" w:sz="4" w:space="0"/>
            <w:insideH w:val="single" w:color="252525" w:themeColor="text1" w:themeTint="D9" w:sz="4" w:space="0"/>
            <w:insideV w:val="single" w:color="252525" w:themeColor="text1" w:themeTint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1</w:t>
            </w: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2.</w:t>
            </w: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新增长时代的科技创新与高新技术产业发展</w:t>
            </w:r>
          </w:p>
        </w:tc>
      </w:tr>
      <w:tr>
        <w:tblPrEx>
          <w:tblBorders>
            <w:top w:val="single" w:color="252525" w:themeColor="text1" w:themeTint="D9" w:sz="4" w:space="0"/>
            <w:left w:val="single" w:color="252525" w:themeColor="text1" w:themeTint="D9" w:sz="4" w:space="0"/>
            <w:bottom w:val="single" w:color="252525" w:themeColor="text1" w:themeTint="D9" w:sz="4" w:space="0"/>
            <w:right w:val="single" w:color="252525" w:themeColor="text1" w:themeTint="D9" w:sz="4" w:space="0"/>
            <w:insideH w:val="single" w:color="252525" w:themeColor="text1" w:themeTint="D9" w:sz="4" w:space="0"/>
            <w:insideV w:val="single" w:color="252525" w:themeColor="text1" w:themeTint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深圳金融业</w:t>
            </w:r>
          </w:p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专题研讨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13.</w:t>
            </w: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ESG市场发展与能力建设——金融在绿色复苏中的作用</w:t>
            </w:r>
          </w:p>
        </w:tc>
      </w:tr>
      <w:tr>
        <w:tblPrEx>
          <w:tblBorders>
            <w:top w:val="single" w:color="252525" w:themeColor="text1" w:themeTint="D9" w:sz="4" w:space="0"/>
            <w:left w:val="single" w:color="252525" w:themeColor="text1" w:themeTint="D9" w:sz="4" w:space="0"/>
            <w:bottom w:val="single" w:color="252525" w:themeColor="text1" w:themeTint="D9" w:sz="4" w:space="0"/>
            <w:right w:val="single" w:color="252525" w:themeColor="text1" w:themeTint="D9" w:sz="4" w:space="0"/>
            <w:insideH w:val="single" w:color="252525" w:themeColor="text1" w:themeTint="D9" w:sz="4" w:space="0"/>
            <w:insideV w:val="single" w:color="252525" w:themeColor="text1" w:themeTint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14.</w:t>
            </w: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深圳金融业未来发展的思考与展望</w:t>
            </w:r>
          </w:p>
        </w:tc>
      </w:tr>
      <w:tr>
        <w:tblPrEx>
          <w:tblBorders>
            <w:top w:val="single" w:color="252525" w:themeColor="text1" w:themeTint="D9" w:sz="4" w:space="0"/>
            <w:left w:val="single" w:color="252525" w:themeColor="text1" w:themeTint="D9" w:sz="4" w:space="0"/>
            <w:bottom w:val="single" w:color="252525" w:themeColor="text1" w:themeTint="D9" w:sz="4" w:space="0"/>
            <w:right w:val="single" w:color="252525" w:themeColor="text1" w:themeTint="D9" w:sz="4" w:space="0"/>
            <w:insideH w:val="single" w:color="252525" w:themeColor="text1" w:themeTint="D9" w:sz="4" w:space="0"/>
            <w:insideV w:val="single" w:color="252525" w:themeColor="text1" w:themeTint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全球标杆</w:t>
            </w:r>
          </w:p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学习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1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5.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无人飞行器绝对垄断者、海外扩张急先锋——走进大疆科技</w:t>
            </w:r>
          </w:p>
        </w:tc>
      </w:tr>
      <w:tr>
        <w:tblPrEx>
          <w:tblBorders>
            <w:top w:val="single" w:color="252525" w:themeColor="text1" w:themeTint="D9" w:sz="4" w:space="0"/>
            <w:left w:val="single" w:color="252525" w:themeColor="text1" w:themeTint="D9" w:sz="4" w:space="0"/>
            <w:bottom w:val="single" w:color="252525" w:themeColor="text1" w:themeTint="D9" w:sz="4" w:space="0"/>
            <w:right w:val="single" w:color="252525" w:themeColor="text1" w:themeTint="D9" w:sz="4" w:space="0"/>
            <w:insideH w:val="single" w:color="252525" w:themeColor="text1" w:themeTint="D9" w:sz="4" w:space="0"/>
            <w:insideV w:val="single" w:color="252525" w:themeColor="text1" w:themeTint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1</w:t>
            </w: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6.</w:t>
            </w: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机器人产业前沿——走进鹏</w:t>
            </w: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  <w:lang w:val="en-US" w:eastAsia="zh-CN"/>
              </w:rPr>
              <w:t>城</w:t>
            </w: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实验室机器人研究中心；解密海洋实验室——走进“中山大学”号海洋科考船（二选一）</w:t>
            </w:r>
          </w:p>
        </w:tc>
      </w:tr>
      <w:tr>
        <w:tblPrEx>
          <w:tblBorders>
            <w:top w:val="single" w:color="252525" w:themeColor="text1" w:themeTint="D9" w:sz="4" w:space="0"/>
            <w:left w:val="single" w:color="252525" w:themeColor="text1" w:themeTint="D9" w:sz="4" w:space="0"/>
            <w:bottom w:val="single" w:color="252525" w:themeColor="text1" w:themeTint="D9" w:sz="4" w:space="0"/>
            <w:right w:val="single" w:color="252525" w:themeColor="text1" w:themeTint="D9" w:sz="4" w:space="0"/>
            <w:insideH w:val="single" w:color="252525" w:themeColor="text1" w:themeTint="D9" w:sz="4" w:space="0"/>
            <w:insideV w:val="single" w:color="252525" w:themeColor="text1" w:themeTint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1</w:t>
            </w: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7.</w:t>
            </w: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新能源与未来出行——走进电动汽车全产业链王者比亚迪</w:t>
            </w:r>
          </w:p>
        </w:tc>
      </w:tr>
      <w:tr>
        <w:tblPrEx>
          <w:tblBorders>
            <w:top w:val="single" w:color="252525" w:themeColor="text1" w:themeTint="D9" w:sz="4" w:space="0"/>
            <w:left w:val="single" w:color="252525" w:themeColor="text1" w:themeTint="D9" w:sz="4" w:space="0"/>
            <w:bottom w:val="single" w:color="252525" w:themeColor="text1" w:themeTint="D9" w:sz="4" w:space="0"/>
            <w:right w:val="single" w:color="252525" w:themeColor="text1" w:themeTint="D9" w:sz="4" w:space="0"/>
            <w:insideH w:val="single" w:color="252525" w:themeColor="text1" w:themeTint="D9" w:sz="4" w:space="0"/>
            <w:insideV w:val="single" w:color="252525" w:themeColor="text1" w:themeTint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主题论坛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1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8.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“加强资本与科技深度融合，发挥资本市场枢纽功能”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shd w:val="clear" w:color="auto" w:fill="FFFFFF"/>
              </w:rPr>
              <w:t>闭门研讨会</w:t>
            </w:r>
          </w:p>
        </w:tc>
      </w:tr>
      <w:tr>
        <w:tblPrEx>
          <w:tblBorders>
            <w:top w:val="single" w:color="252525" w:themeColor="text1" w:themeTint="D9" w:sz="4" w:space="0"/>
            <w:left w:val="single" w:color="252525" w:themeColor="text1" w:themeTint="D9" w:sz="4" w:space="0"/>
            <w:bottom w:val="single" w:color="252525" w:themeColor="text1" w:themeTint="D9" w:sz="4" w:space="0"/>
            <w:right w:val="single" w:color="252525" w:themeColor="text1" w:themeTint="D9" w:sz="4" w:space="0"/>
            <w:insideH w:val="single" w:color="252525" w:themeColor="text1" w:themeTint="D9" w:sz="4" w:space="0"/>
            <w:insideV w:val="single" w:color="252525" w:themeColor="text1" w:themeTint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1</w:t>
            </w: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9.</w:t>
            </w: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“科技赋能，智链未来”——金融科技与区块链创新发展论坛</w:t>
            </w:r>
          </w:p>
        </w:tc>
      </w:tr>
      <w:tr>
        <w:tblPrEx>
          <w:tblBorders>
            <w:top w:val="single" w:color="252525" w:themeColor="text1" w:themeTint="D9" w:sz="4" w:space="0"/>
            <w:left w:val="single" w:color="252525" w:themeColor="text1" w:themeTint="D9" w:sz="4" w:space="0"/>
            <w:bottom w:val="single" w:color="252525" w:themeColor="text1" w:themeTint="D9" w:sz="4" w:space="0"/>
            <w:right w:val="single" w:color="252525" w:themeColor="text1" w:themeTint="D9" w:sz="4" w:space="0"/>
            <w:insideH w:val="single" w:color="252525" w:themeColor="text1" w:themeTint="D9" w:sz="4" w:space="0"/>
            <w:insideV w:val="single" w:color="252525" w:themeColor="text1" w:themeTint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shd w:val="clear" w:color="auto" w:fill="FFFFFF"/>
              </w:rPr>
              <w:t>2</w:t>
            </w:r>
            <w:r>
              <w:rPr>
                <w:rFonts w:ascii="仿宋" w:hAnsi="仿宋" w:eastAsia="仿宋" w:cs="Times New Roman"/>
                <w:sz w:val="30"/>
                <w:szCs w:val="30"/>
                <w:shd w:val="clear" w:color="auto" w:fill="FFFFFF"/>
              </w:rPr>
              <w:t>0.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shd w:val="clear" w:color="auto" w:fill="FFFFFF"/>
              </w:rPr>
              <w:t>人民币国际化与跨境金融主题论坛</w:t>
            </w:r>
          </w:p>
        </w:tc>
      </w:tr>
      <w:tr>
        <w:tblPrEx>
          <w:tblBorders>
            <w:top w:val="single" w:color="252525" w:themeColor="text1" w:themeTint="D9" w:sz="4" w:space="0"/>
            <w:left w:val="single" w:color="252525" w:themeColor="text1" w:themeTint="D9" w:sz="4" w:space="0"/>
            <w:bottom w:val="single" w:color="252525" w:themeColor="text1" w:themeTint="D9" w:sz="4" w:space="0"/>
            <w:right w:val="single" w:color="252525" w:themeColor="text1" w:themeTint="D9" w:sz="4" w:space="0"/>
            <w:insideH w:val="single" w:color="252525" w:themeColor="text1" w:themeTint="D9" w:sz="4" w:space="0"/>
            <w:insideV w:val="single" w:color="252525" w:themeColor="text1" w:themeTint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2</w:t>
            </w: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1.</w:t>
            </w: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“耐心资本，融生万物”—创新资本与新兴产业投资主题论坛</w:t>
            </w:r>
          </w:p>
        </w:tc>
      </w:tr>
      <w:tr>
        <w:tblPrEx>
          <w:tblBorders>
            <w:top w:val="single" w:color="252525" w:themeColor="text1" w:themeTint="D9" w:sz="4" w:space="0"/>
            <w:left w:val="single" w:color="252525" w:themeColor="text1" w:themeTint="D9" w:sz="4" w:space="0"/>
            <w:bottom w:val="single" w:color="252525" w:themeColor="text1" w:themeTint="D9" w:sz="4" w:space="0"/>
            <w:right w:val="single" w:color="252525" w:themeColor="text1" w:themeTint="D9" w:sz="4" w:space="0"/>
            <w:insideH w:val="single" w:color="252525" w:themeColor="text1" w:themeTint="D9" w:sz="4" w:space="0"/>
            <w:insideV w:val="single" w:color="252525" w:themeColor="text1" w:themeTint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2</w:t>
            </w: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2.</w:t>
            </w: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“建立健全金融产业链，打造湾区高标准金融聚集区”主题论坛</w:t>
            </w:r>
          </w:p>
        </w:tc>
      </w:tr>
      <w:tr>
        <w:tblPrEx>
          <w:tblBorders>
            <w:top w:val="single" w:color="252525" w:themeColor="text1" w:themeTint="D9" w:sz="4" w:space="0"/>
            <w:left w:val="single" w:color="252525" w:themeColor="text1" w:themeTint="D9" w:sz="4" w:space="0"/>
            <w:bottom w:val="single" w:color="252525" w:themeColor="text1" w:themeTint="D9" w:sz="4" w:space="0"/>
            <w:right w:val="single" w:color="252525" w:themeColor="text1" w:themeTint="D9" w:sz="4" w:space="0"/>
            <w:insideH w:val="single" w:color="252525" w:themeColor="text1" w:themeTint="D9" w:sz="4" w:space="0"/>
            <w:insideV w:val="single" w:color="252525" w:themeColor="text1" w:themeTint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拓展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冰壶体验赛+帆船友谊赛 </w:t>
            </w: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 xml:space="preserve">或 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海滨徒步+太极文化体验</w:t>
            </w:r>
          </w:p>
        </w:tc>
      </w:tr>
    </w:tbl>
    <w:p>
      <w:pPr>
        <w:ind w:firstLine="602" w:firstLineChars="200"/>
        <w:rPr>
          <w:rFonts w:hint="default" w:ascii="黑体" w:hAnsi="黑体" w:eastAsia="黑体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备注：课程内容可根据市地方金融管理局和学员要求调整优化。</w:t>
      </w: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四、师资代表简介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夏斌，国务院参事，国务院发展研究中心金融研究所名誉所长；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刘明康，中国银监会原主席，中山大学岭南学院名誉院长；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陈云贤，广东省人民政府原副省长；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余斌，国务院发展研究中心党组成员；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陆磊，国家外汇管理局副局长、党组成员；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李善民，中山大学党委常委、副校长，自贸区综合研究院院长；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马蔚华，招商银行原行长，深圳国际公益学院董事会主席；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宋尔卫，中国科学院院士，中山大学孙逸仙纪念医院院长；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欧阳明高，中国科学院院士，中国电动汽车百人会副理事长；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杨毅，国防大学战略研究所原所长，海军少将；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朱民，清华大学国家金融研究院院长，</w:t>
      </w:r>
      <w:r>
        <w:rPr>
          <w:rFonts w:ascii="仿宋_GB2312" w:eastAsia="仿宋_GB2312"/>
          <w:sz w:val="30"/>
          <w:szCs w:val="30"/>
        </w:rPr>
        <w:t>IMF原副总裁；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余淼杰，北京大学国家发展研究院党委书记、副院长；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鞠建东，清华大学五道口金融学院紫光讲席教授；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林伯强，厦门大学经济学院院长，中国能源政策研究院院长；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黄益平，北京大学国家发展研究院副院长，数字金融研究中心主任；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吕廷杰，北京邮电大学教授，中国联通独立董事；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殷红，中国金融学会色金融专业委员会副秘书长，</w:t>
      </w:r>
      <w:r>
        <w:rPr>
          <w:rFonts w:ascii="仿宋_GB2312" w:eastAsia="仿宋_GB2312"/>
          <w:sz w:val="30"/>
          <w:szCs w:val="30"/>
        </w:rPr>
        <w:t>ESG联合工作组牵头人；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陈海波，上海交通大学教授，鸿蒙实验室主任，</w:t>
      </w:r>
      <w:r>
        <w:rPr>
          <w:rFonts w:ascii="仿宋_GB2312" w:eastAsia="仿宋_GB2312"/>
          <w:sz w:val="30"/>
          <w:szCs w:val="30"/>
        </w:rPr>
        <w:t>ACM杰出科学家；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申曙光，中国社会保障学会副会长，中山大学社会保障研究中心主任；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管涛，中银证券全球首席经济学家，国家外汇管理局国际收支司原司长；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广东省银监局、深圳银保监局、深圳证监局、深圳市地方金融监督管理局等单位相关领导；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厉伟（松禾资本创始合伙人）、陈玮（东方富海创始合伙人、董事长）等往届学员代表。</w:t>
      </w: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五</w:t>
      </w:r>
      <w:r>
        <w:rPr>
          <w:rFonts w:hint="eastAsia" w:ascii="黑体" w:hAnsi="黑体" w:eastAsia="黑体"/>
          <w:sz w:val="30"/>
          <w:szCs w:val="30"/>
        </w:rPr>
        <w:t>、联系方式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中山大学高等继续教育中心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联系人：周老师 </w:t>
      </w:r>
      <w:r>
        <w:rPr>
          <w:rFonts w:ascii="仿宋_GB2312" w:hAnsi="仿宋_GB2312" w:eastAsia="仿宋_GB2312" w:cs="仿宋_GB2312"/>
          <w:sz w:val="30"/>
          <w:szCs w:val="30"/>
        </w:rPr>
        <w:t>13651981121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，程老师 </w:t>
      </w:r>
      <w:r>
        <w:rPr>
          <w:rFonts w:ascii="仿宋_GB2312" w:hAnsi="仿宋_GB2312" w:eastAsia="仿宋_GB2312" w:cs="仿宋_GB2312"/>
          <w:sz w:val="30"/>
          <w:szCs w:val="30"/>
        </w:rPr>
        <w:t>15627869872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电话：0</w:t>
      </w:r>
      <w:r>
        <w:rPr>
          <w:rFonts w:ascii="仿宋_GB2312" w:hAnsi="仿宋_GB2312" w:eastAsia="仿宋_GB2312" w:cs="仿宋_GB2312"/>
          <w:sz w:val="30"/>
          <w:szCs w:val="30"/>
        </w:rPr>
        <w:t>20-84112130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邮箱：</w:t>
      </w:r>
      <w:r>
        <w:fldChar w:fldCharType="begin"/>
      </w:r>
      <w:r>
        <w:instrText xml:space="preserve"> HYPERLINK "mailto:zhoucheng_cn@hotmail.com" </w:instrText>
      </w:r>
      <w:r>
        <w:fldChar w:fldCharType="separate"/>
      </w:r>
      <w:r>
        <w:rPr>
          <w:rFonts w:hint="eastAsia" w:hAnsi="仿宋_GB2312" w:cs="仿宋_GB2312"/>
          <w:sz w:val="30"/>
          <w:szCs w:val="30"/>
        </w:rPr>
        <w:t>z</w:t>
      </w:r>
      <w:r>
        <w:rPr>
          <w:rFonts w:hAnsi="仿宋_GB2312" w:cs="仿宋_GB2312"/>
          <w:sz w:val="30"/>
          <w:szCs w:val="30"/>
        </w:rPr>
        <w:t>houchen</w:t>
      </w:r>
      <w:r>
        <w:rPr>
          <w:rFonts w:hint="eastAsia" w:hAnsi="仿宋_GB2312" w:cs="仿宋_GB2312"/>
          <w:sz w:val="30"/>
          <w:szCs w:val="30"/>
        </w:rPr>
        <w:t>g</w:t>
      </w:r>
      <w:r>
        <w:rPr>
          <w:rFonts w:hAnsi="仿宋_GB2312" w:cs="仿宋_GB2312"/>
          <w:sz w:val="30"/>
          <w:szCs w:val="30"/>
        </w:rPr>
        <w:t>_cn@hotmail.com</w:t>
      </w:r>
      <w:r>
        <w:rPr>
          <w:rFonts w:hAnsi="仿宋_GB2312" w:cs="仿宋_GB2312"/>
          <w:sz w:val="30"/>
          <w:szCs w:val="30"/>
        </w:rPr>
        <w:fldChar w:fldCharType="end"/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地址：深圳市南山区粤兴四道中山大学产学研大楼6楼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06"/>
    <w:rsid w:val="000113BB"/>
    <w:rsid w:val="001361E4"/>
    <w:rsid w:val="00165506"/>
    <w:rsid w:val="00183383"/>
    <w:rsid w:val="00237E65"/>
    <w:rsid w:val="00295EE8"/>
    <w:rsid w:val="002D511D"/>
    <w:rsid w:val="003276CC"/>
    <w:rsid w:val="00387022"/>
    <w:rsid w:val="00497E6B"/>
    <w:rsid w:val="00517F17"/>
    <w:rsid w:val="005338AA"/>
    <w:rsid w:val="005B448E"/>
    <w:rsid w:val="005F08E3"/>
    <w:rsid w:val="006947C7"/>
    <w:rsid w:val="00885695"/>
    <w:rsid w:val="008C60AA"/>
    <w:rsid w:val="00941ED8"/>
    <w:rsid w:val="009A3160"/>
    <w:rsid w:val="00A930B4"/>
    <w:rsid w:val="00AE571F"/>
    <w:rsid w:val="00B07620"/>
    <w:rsid w:val="00B56AC8"/>
    <w:rsid w:val="00B87885"/>
    <w:rsid w:val="00DB4274"/>
    <w:rsid w:val="00E425CB"/>
    <w:rsid w:val="00E62782"/>
    <w:rsid w:val="00F81D6F"/>
    <w:rsid w:val="00FA2E98"/>
    <w:rsid w:val="03136BF2"/>
    <w:rsid w:val="1AE135A5"/>
    <w:rsid w:val="22222E9B"/>
    <w:rsid w:val="2BFB246D"/>
    <w:rsid w:val="2F22343B"/>
    <w:rsid w:val="4AE7461A"/>
    <w:rsid w:val="4EDD1BB1"/>
    <w:rsid w:val="5837276B"/>
    <w:rsid w:val="589145EE"/>
    <w:rsid w:val="5FD35063"/>
    <w:rsid w:val="60290221"/>
    <w:rsid w:val="697249C9"/>
    <w:rsid w:val="74011404"/>
    <w:rsid w:val="D5FA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eastAsia="仿宋_GB2312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rPr>
      <w:rFonts w:eastAsia="黑体"/>
      <w:sz w:val="22"/>
    </w:rPr>
  </w:style>
  <w:style w:type="table" w:styleId="9">
    <w:name w:val="Table Grid"/>
    <w:basedOn w:val="8"/>
    <w:qFormat/>
    <w:uiPriority w:val="99"/>
    <w:rPr>
      <w:rFonts w:ascii="Times New Roman" w:hAnsi="Times New Roman" w:eastAsia="Times New Roman" w:cs="Times New Roman"/>
      <w:szCs w:val="2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字符"/>
    <w:basedOn w:val="10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3">
    <w:name w:val="标题 2 字符"/>
    <w:basedOn w:val="10"/>
    <w:link w:val="3"/>
    <w:qFormat/>
    <w:uiPriority w:val="9"/>
    <w:rPr>
      <w:rFonts w:eastAsia="楷体_GB2312" w:asciiTheme="majorHAnsi" w:hAnsiTheme="majorHAnsi" w:cstheme="majorBidi"/>
      <w:bCs/>
      <w:sz w:val="32"/>
      <w:szCs w:val="32"/>
    </w:rPr>
  </w:style>
  <w:style w:type="character" w:customStyle="1" w:styleId="14">
    <w:name w:val="标题 3 字符"/>
    <w:basedOn w:val="10"/>
    <w:link w:val="4"/>
    <w:qFormat/>
    <w:uiPriority w:val="0"/>
    <w:rPr>
      <w:rFonts w:eastAsia="仿宋_GB2312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291</Words>
  <Characters>1665</Characters>
  <Lines>13</Lines>
  <Paragraphs>3</Paragraphs>
  <TotalTime>10</TotalTime>
  <ScaleCrop>false</ScaleCrop>
  <LinksUpToDate>false</LinksUpToDate>
  <CharactersWithSpaces>1953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2021-09-03T20:52:00Z</dcterms:created>
  <dc:creator>Zhang Summer</dc:creator>
  <cp:lastModifiedBy>xuxuelian</cp:lastModifiedBy>
  <dcterms:modified xsi:type="dcterms:W3CDTF">2022-11-22T12:19:23Z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7FDA9AEE569F48E7855C2A45FBA95D54</vt:lpwstr>
  </property>
</Properties>
</file>