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bookmarkStart w:id="9" w:name="_GoBack"/>
      <w:bookmarkEnd w:id="9"/>
    </w:p>
    <w:p>
      <w:pPr>
        <w:pStyle w:val="51"/>
      </w:pPr>
    </w:p>
    <w:p>
      <w:pPr>
        <w:pStyle w:val="51"/>
      </w:pPr>
    </w:p>
    <w:p>
      <w:pPr>
        <w:pStyle w:val="51"/>
      </w:pPr>
      <w:r>
        <w:t>2021年度金融改革创新与组织实施项目</w:t>
      </w:r>
    </w:p>
    <w:p>
      <w:pPr>
        <w:pStyle w:val="51"/>
      </w:pPr>
      <w:r>
        <w:rPr>
          <w:rFonts w:hint="eastAsia"/>
        </w:rPr>
        <w:t>绩效评价报告</w:t>
      </w:r>
    </w:p>
    <w:p>
      <w:pPr>
        <w:pStyle w:val="3"/>
        <w:ind w:firstLine="640"/>
      </w:pPr>
    </w:p>
    <w:p>
      <w:pPr>
        <w:pStyle w:val="3"/>
        <w:ind w:firstLine="640"/>
      </w:pPr>
      <w:r>
        <w:t>为贯彻《中共中央国务院关于全面实施预算绩效管理的意见》（中发〔2018〕34 号）文件精神，落实预算绩效管理主体责任，提高财政资金使用效益，优化财政资源配置，综合</w:t>
      </w:r>
      <w:r>
        <w:rPr>
          <w:rFonts w:hint="eastAsia"/>
        </w:rPr>
        <w:t>评价</w:t>
      </w:r>
      <w:r>
        <w:t>金融改革创新与组织实施项目</w:t>
      </w:r>
      <w:r>
        <w:rPr>
          <w:rFonts w:hint="eastAsia"/>
        </w:rPr>
        <w:t>实施效果</w:t>
      </w:r>
      <w:r>
        <w:t>，依据相关政策文件，</w:t>
      </w:r>
      <w:r>
        <w:rPr>
          <w:rFonts w:hint="eastAsia"/>
        </w:rPr>
        <w:t>深圳</w:t>
      </w:r>
      <w:r>
        <w:t>市地方金融监督管理局</w:t>
      </w:r>
      <w:r>
        <w:rPr>
          <w:rStyle w:val="24"/>
        </w:rPr>
        <w:footnoteReference w:id="0"/>
      </w:r>
      <w:r>
        <w:rPr>
          <w:rFonts w:hint="eastAsia"/>
        </w:rPr>
        <w:t>（深圳市政府金融工作办公室，以下简称“市地方金融监管局”）</w:t>
      </w:r>
      <w:r>
        <w:t>组建绩效评价工作组于202</w:t>
      </w:r>
      <w:r>
        <w:rPr>
          <w:rFonts w:hint="eastAsia"/>
        </w:rPr>
        <w:t>2</w:t>
      </w:r>
      <w:r>
        <w:t>年4月-202</w:t>
      </w:r>
      <w:r>
        <w:rPr>
          <w:rFonts w:hint="eastAsia"/>
        </w:rPr>
        <w:t>2</w:t>
      </w:r>
      <w:r>
        <w:t>年</w:t>
      </w:r>
      <w:r>
        <w:rPr>
          <w:rFonts w:hint="eastAsia"/>
        </w:rPr>
        <w:t>6</w:t>
      </w:r>
      <w:r>
        <w:t>月，对2021年度金融改革创新与组织实施项目</w:t>
      </w:r>
      <w:r>
        <w:rPr>
          <w:rFonts w:hint="eastAsia"/>
        </w:rPr>
        <w:t>（以下简称“</w:t>
      </w:r>
      <w:r>
        <w:t>金融改革创新项目</w:t>
      </w:r>
      <w:r>
        <w:rPr>
          <w:rFonts w:hint="eastAsia"/>
        </w:rPr>
        <w:t>”）</w:t>
      </w:r>
      <w:r>
        <w:t>开展绩效评价</w:t>
      </w:r>
      <w:r>
        <w:rPr>
          <w:rFonts w:hint="eastAsia"/>
        </w:rPr>
        <w:t>，</w:t>
      </w:r>
      <w:r>
        <w:rPr>
          <w:rFonts w:hint="eastAsia"/>
          <w:lang w:eastAsia="zh-CN"/>
        </w:rPr>
        <w:t>共</w:t>
      </w:r>
      <w:r>
        <w:rPr>
          <w:rFonts w:hint="eastAsia"/>
        </w:rPr>
        <w:t>涉及预算资金2</w:t>
      </w:r>
      <w:r>
        <w:t>47.50</w:t>
      </w:r>
      <w:r>
        <w:rPr>
          <w:rFonts w:hint="eastAsia"/>
        </w:rPr>
        <w:t>万元</w:t>
      </w:r>
      <w:r>
        <w:t>，预算执行率为</w:t>
      </w:r>
      <w:r>
        <w:rPr>
          <w:rFonts w:hint="eastAsia"/>
        </w:rPr>
        <w:t>90.80%</w:t>
      </w:r>
      <w:r>
        <w:t>。</w:t>
      </w:r>
    </w:p>
    <w:p>
      <w:pPr>
        <w:pStyle w:val="2"/>
        <w:ind w:firstLine="640"/>
      </w:pPr>
      <w:r>
        <w:rPr>
          <w:rFonts w:hint="eastAsia"/>
        </w:rPr>
        <w:t>绩效评价结果</w:t>
      </w:r>
    </w:p>
    <w:p>
      <w:pPr>
        <w:pStyle w:val="3"/>
        <w:ind w:firstLine="640"/>
      </w:pPr>
      <w:r>
        <w:t>评价小组从</w:t>
      </w:r>
      <w:r>
        <w:rPr>
          <w:rFonts w:hint="eastAsia"/>
        </w:rPr>
        <w:t>项目</w:t>
      </w:r>
      <w:r>
        <w:t>决策、</w:t>
      </w:r>
      <w:r>
        <w:rPr>
          <w:rFonts w:hint="eastAsia"/>
        </w:rPr>
        <w:t>过程</w:t>
      </w:r>
      <w:r>
        <w:t>管理、产出、效果四个维度构建绩效评价指标体系，包括4个一级指标，</w:t>
      </w:r>
      <w:r>
        <w:rPr>
          <w:rFonts w:hint="eastAsia"/>
        </w:rPr>
        <w:t>14</w:t>
      </w:r>
      <w:r>
        <w:t>个二级指标，</w:t>
      </w:r>
      <w:r>
        <w:rPr>
          <w:rFonts w:hint="eastAsia"/>
        </w:rPr>
        <w:t>30</w:t>
      </w:r>
      <w:r>
        <w:t>个三级指标，按照总分</w:t>
      </w:r>
      <w:r>
        <w:rPr>
          <w:rFonts w:hint="eastAsia"/>
        </w:rPr>
        <w:t>1</w:t>
      </w:r>
      <w:r>
        <w:t>00分对各指标分别赋予相应权重。</w:t>
      </w:r>
      <w:r>
        <w:rPr>
          <w:rFonts w:hint="eastAsia"/>
        </w:rPr>
        <w:t>2021年度</w:t>
      </w:r>
      <w:r>
        <w:t>金融改革创新项目</w:t>
      </w:r>
      <w:r>
        <w:rPr>
          <w:rFonts w:hint="eastAsia"/>
        </w:rPr>
        <w:t>绩效评价得分为86.79分，绩效评价等级为“良”</w:t>
      </w:r>
      <w:r>
        <w:rPr>
          <w:vertAlign w:val="superscript"/>
        </w:rPr>
        <w:footnoteReference w:id="1"/>
      </w:r>
      <w:r>
        <w:rPr>
          <w:rFonts w:hint="eastAsia"/>
        </w:rPr>
        <w:t>。具体评价情况见下表：</w:t>
      </w:r>
    </w:p>
    <w:p>
      <w:pPr>
        <w:pStyle w:val="38"/>
        <w:keepNext/>
      </w:pPr>
      <w:r>
        <w:rPr>
          <w:rFonts w:hint="eastAsia"/>
        </w:rPr>
        <w:t>表1</w:t>
      </w:r>
      <w:r>
        <w:t xml:space="preserve"> </w:t>
      </w:r>
      <w:r>
        <w:rPr>
          <w:rFonts w:hint="eastAsia"/>
        </w:rPr>
        <w:t>绩效评价指标体系得分表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236"/>
        <w:gridCol w:w="1427"/>
        <w:gridCol w:w="115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62" w:type="pct"/>
            <w:shd w:val="clear" w:color="auto" w:fill="auto"/>
            <w:vAlign w:val="center"/>
          </w:tcPr>
          <w:p>
            <w:pPr>
              <w:rPr>
                <w:rFonts w:ascii="仿宋_GB2312" w:hAnsi="仿宋_GB2312" w:eastAsia="仿宋_GB2312"/>
                <w:b/>
                <w:bCs/>
                <w:color w:val="000000"/>
                <w:sz w:val="20"/>
                <w:szCs w:val="20"/>
              </w:rPr>
            </w:pPr>
            <w:r>
              <w:rPr>
                <w:rFonts w:hint="eastAsia" w:ascii="仿宋_GB2312" w:hAnsi="仿宋_GB2312" w:eastAsia="仿宋_GB2312"/>
                <w:b/>
                <w:bCs/>
                <w:color w:val="000000"/>
                <w:sz w:val="20"/>
                <w:szCs w:val="20"/>
              </w:rPr>
              <w:t>一级指标</w:t>
            </w:r>
          </w:p>
        </w:tc>
        <w:tc>
          <w:tcPr>
            <w:tcW w:w="1312" w:type="pct"/>
            <w:shd w:val="clear" w:color="auto" w:fill="auto"/>
            <w:vAlign w:val="center"/>
          </w:tcPr>
          <w:p>
            <w:pPr>
              <w:rPr>
                <w:rFonts w:ascii="仿宋_GB2312" w:hAnsi="仿宋_GB2312" w:eastAsia="仿宋_GB2312"/>
                <w:b/>
                <w:bCs/>
                <w:color w:val="000000"/>
                <w:sz w:val="20"/>
                <w:szCs w:val="20"/>
              </w:rPr>
            </w:pPr>
            <w:r>
              <w:rPr>
                <w:rFonts w:hint="eastAsia" w:ascii="仿宋_GB2312" w:hAnsi="仿宋_GB2312" w:eastAsia="仿宋_GB2312"/>
                <w:b/>
                <w:bCs/>
                <w:color w:val="000000"/>
                <w:sz w:val="20"/>
                <w:szCs w:val="20"/>
              </w:rPr>
              <w:t>二级指标</w:t>
            </w:r>
          </w:p>
        </w:tc>
        <w:tc>
          <w:tcPr>
            <w:tcW w:w="837" w:type="pct"/>
            <w:shd w:val="clear" w:color="auto" w:fill="auto"/>
            <w:vAlign w:val="center"/>
          </w:tcPr>
          <w:p>
            <w:pPr>
              <w:jc w:val="center"/>
              <w:rPr>
                <w:rFonts w:ascii="仿宋_GB2312" w:hAnsi="仿宋_GB2312" w:eastAsia="仿宋_GB2312"/>
                <w:b/>
                <w:bCs/>
                <w:color w:val="000000"/>
                <w:sz w:val="20"/>
                <w:szCs w:val="20"/>
              </w:rPr>
            </w:pPr>
            <w:r>
              <w:rPr>
                <w:rFonts w:hint="eastAsia" w:ascii="仿宋_GB2312" w:hAnsi="仿宋_GB2312" w:eastAsia="仿宋_GB2312"/>
                <w:b/>
                <w:bCs/>
                <w:color w:val="000000"/>
                <w:sz w:val="20"/>
                <w:szCs w:val="20"/>
              </w:rPr>
              <w:t>权重</w:t>
            </w:r>
          </w:p>
        </w:tc>
        <w:tc>
          <w:tcPr>
            <w:tcW w:w="675" w:type="pct"/>
            <w:shd w:val="clear" w:color="auto" w:fill="auto"/>
            <w:vAlign w:val="center"/>
          </w:tcPr>
          <w:p>
            <w:pPr>
              <w:jc w:val="center"/>
              <w:rPr>
                <w:rFonts w:ascii="仿宋_GB2312" w:hAnsi="仿宋_GB2312" w:eastAsia="仿宋_GB2312"/>
                <w:b/>
                <w:bCs/>
                <w:color w:val="000000"/>
                <w:sz w:val="20"/>
                <w:szCs w:val="20"/>
              </w:rPr>
            </w:pPr>
            <w:r>
              <w:rPr>
                <w:rFonts w:hint="eastAsia" w:ascii="仿宋_GB2312" w:hAnsi="仿宋_GB2312" w:eastAsia="仿宋_GB2312"/>
                <w:b/>
                <w:bCs/>
                <w:color w:val="000000"/>
                <w:sz w:val="20"/>
                <w:szCs w:val="20"/>
              </w:rPr>
              <w:t>得分</w:t>
            </w:r>
          </w:p>
        </w:tc>
        <w:tc>
          <w:tcPr>
            <w:tcW w:w="1014" w:type="pct"/>
            <w:shd w:val="clear" w:color="auto" w:fill="auto"/>
            <w:vAlign w:val="center"/>
          </w:tcPr>
          <w:p>
            <w:pPr>
              <w:jc w:val="center"/>
              <w:rPr>
                <w:rFonts w:ascii="仿宋_GB2312" w:hAnsi="仿宋_GB2312" w:eastAsia="仿宋_GB2312"/>
                <w:b/>
                <w:bCs/>
                <w:color w:val="000000"/>
                <w:sz w:val="20"/>
                <w:szCs w:val="20"/>
              </w:rPr>
            </w:pPr>
            <w:r>
              <w:rPr>
                <w:rFonts w:hint="eastAsia" w:ascii="仿宋_GB2312" w:hAnsi="仿宋_GB2312" w:eastAsia="仿宋_GB2312"/>
                <w:b/>
                <w:bCs/>
                <w:color w:val="000000"/>
                <w:sz w:val="20"/>
                <w:szCs w:val="2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restar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A决策</w:t>
            </w: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A1项目立项</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6</w:t>
            </w:r>
          </w:p>
        </w:tc>
        <w:tc>
          <w:tcPr>
            <w:tcW w:w="675"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6.00</w:t>
            </w:r>
          </w:p>
        </w:tc>
        <w:tc>
          <w:tcPr>
            <w:tcW w:w="1014"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A2绩效目标</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4</w:t>
            </w:r>
          </w:p>
        </w:tc>
        <w:tc>
          <w:tcPr>
            <w:tcW w:w="675"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2.83</w:t>
            </w:r>
          </w:p>
        </w:tc>
        <w:tc>
          <w:tcPr>
            <w:tcW w:w="1014"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A3资金投入</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5</w:t>
            </w:r>
          </w:p>
        </w:tc>
        <w:tc>
          <w:tcPr>
            <w:tcW w:w="675"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4.85</w:t>
            </w:r>
          </w:p>
        </w:tc>
        <w:tc>
          <w:tcPr>
            <w:tcW w:w="1014"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restar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B过程</w:t>
            </w: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B1资金管理</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5</w:t>
            </w:r>
          </w:p>
        </w:tc>
        <w:tc>
          <w:tcPr>
            <w:tcW w:w="675"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4.45</w:t>
            </w:r>
          </w:p>
        </w:tc>
        <w:tc>
          <w:tcPr>
            <w:tcW w:w="1014" w:type="pct"/>
            <w:shd w:val="clear" w:color="auto" w:fill="auto"/>
            <w:noWrap/>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B2组织实施</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8</w:t>
            </w:r>
          </w:p>
        </w:tc>
        <w:tc>
          <w:tcPr>
            <w:tcW w:w="675"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8.00</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B3过程管理</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6</w:t>
            </w:r>
          </w:p>
        </w:tc>
        <w:tc>
          <w:tcPr>
            <w:tcW w:w="675"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5.33</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B4监督管理</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6</w:t>
            </w:r>
          </w:p>
        </w:tc>
        <w:tc>
          <w:tcPr>
            <w:tcW w:w="675" w:type="pct"/>
            <w:shd w:val="clear" w:color="auto" w:fill="auto"/>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5.00</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restar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C产出</w:t>
            </w: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C1数量</w:t>
            </w:r>
          </w:p>
        </w:tc>
        <w:tc>
          <w:tcPr>
            <w:tcW w:w="837" w:type="pct"/>
            <w:shd w:val="clear" w:color="auto" w:fill="auto"/>
            <w:vAlign w:val="center"/>
          </w:tcPr>
          <w:p>
            <w:pPr>
              <w:jc w:val="center"/>
              <w:rPr>
                <w:rFonts w:ascii="仿宋_GB2312" w:hAnsi="仿宋_GB2312" w:eastAsia="仿宋_GB2312"/>
                <w:sz w:val="20"/>
                <w:szCs w:val="20"/>
              </w:rPr>
            </w:pPr>
            <w:r>
              <w:rPr>
                <w:rFonts w:hint="eastAsia" w:ascii="仿宋_GB2312" w:hAnsi="仿宋_GB2312" w:eastAsia="仿宋_GB2312"/>
                <w:sz w:val="20"/>
                <w:szCs w:val="20"/>
              </w:rPr>
              <w:t>11</w:t>
            </w:r>
          </w:p>
        </w:tc>
        <w:tc>
          <w:tcPr>
            <w:tcW w:w="675" w:type="pct"/>
            <w:shd w:val="clear" w:color="auto" w:fill="auto"/>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9.50</w:t>
            </w:r>
          </w:p>
        </w:tc>
        <w:tc>
          <w:tcPr>
            <w:tcW w:w="1014" w:type="pct"/>
            <w:shd w:val="clear" w:color="auto" w:fill="auto"/>
            <w:noWrap/>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C2质量</w:t>
            </w:r>
          </w:p>
        </w:tc>
        <w:tc>
          <w:tcPr>
            <w:tcW w:w="837" w:type="pct"/>
            <w:shd w:val="clear" w:color="auto" w:fill="auto"/>
            <w:vAlign w:val="center"/>
          </w:tcPr>
          <w:p>
            <w:pPr>
              <w:jc w:val="center"/>
              <w:rPr>
                <w:rFonts w:ascii="仿宋_GB2312" w:hAnsi="仿宋_GB2312" w:eastAsia="仿宋_GB2312"/>
                <w:sz w:val="20"/>
                <w:szCs w:val="20"/>
              </w:rPr>
            </w:pPr>
            <w:r>
              <w:rPr>
                <w:rFonts w:hint="eastAsia" w:ascii="仿宋_GB2312" w:hAnsi="仿宋_GB2312" w:eastAsia="仿宋_GB2312"/>
                <w:sz w:val="20"/>
                <w:szCs w:val="20"/>
              </w:rPr>
              <w:t>5</w:t>
            </w:r>
          </w:p>
        </w:tc>
        <w:tc>
          <w:tcPr>
            <w:tcW w:w="675" w:type="pct"/>
            <w:shd w:val="clear" w:color="auto" w:fill="auto"/>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5.00</w:t>
            </w:r>
          </w:p>
        </w:tc>
        <w:tc>
          <w:tcPr>
            <w:tcW w:w="1014" w:type="pct"/>
            <w:shd w:val="clear" w:color="auto" w:fill="auto"/>
            <w:noWrap/>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C3时效</w:t>
            </w:r>
          </w:p>
        </w:tc>
        <w:tc>
          <w:tcPr>
            <w:tcW w:w="837" w:type="pct"/>
            <w:shd w:val="clear" w:color="auto" w:fill="auto"/>
            <w:vAlign w:val="center"/>
          </w:tcPr>
          <w:p>
            <w:pPr>
              <w:jc w:val="center"/>
              <w:rPr>
                <w:rFonts w:ascii="仿宋_GB2312" w:hAnsi="仿宋_GB2312" w:eastAsia="仿宋_GB2312"/>
                <w:sz w:val="20"/>
                <w:szCs w:val="20"/>
              </w:rPr>
            </w:pPr>
            <w:r>
              <w:rPr>
                <w:rFonts w:hint="eastAsia" w:ascii="仿宋_GB2312" w:hAnsi="仿宋_GB2312" w:eastAsia="仿宋_GB2312"/>
                <w:sz w:val="20"/>
                <w:szCs w:val="20"/>
              </w:rPr>
              <w:t>8</w:t>
            </w:r>
          </w:p>
        </w:tc>
        <w:tc>
          <w:tcPr>
            <w:tcW w:w="675" w:type="pct"/>
            <w:shd w:val="clear" w:color="auto" w:fill="auto"/>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4.80</w:t>
            </w:r>
          </w:p>
        </w:tc>
        <w:tc>
          <w:tcPr>
            <w:tcW w:w="1014" w:type="pct"/>
            <w:shd w:val="clear" w:color="auto" w:fill="auto"/>
            <w:noWrap/>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C4成本</w:t>
            </w:r>
          </w:p>
        </w:tc>
        <w:tc>
          <w:tcPr>
            <w:tcW w:w="837" w:type="pct"/>
            <w:shd w:val="clear" w:color="auto" w:fill="auto"/>
            <w:vAlign w:val="center"/>
          </w:tcPr>
          <w:p>
            <w:pPr>
              <w:jc w:val="center"/>
              <w:rPr>
                <w:rFonts w:ascii="仿宋_GB2312" w:hAnsi="仿宋_GB2312" w:eastAsia="仿宋_GB2312"/>
                <w:sz w:val="20"/>
                <w:szCs w:val="20"/>
              </w:rPr>
            </w:pPr>
            <w:r>
              <w:rPr>
                <w:rFonts w:hint="eastAsia" w:ascii="仿宋_GB2312" w:hAnsi="仿宋_GB2312" w:eastAsia="仿宋_GB2312"/>
                <w:sz w:val="20"/>
                <w:szCs w:val="20"/>
              </w:rPr>
              <w:t>6</w:t>
            </w:r>
          </w:p>
        </w:tc>
        <w:tc>
          <w:tcPr>
            <w:tcW w:w="675" w:type="pct"/>
            <w:shd w:val="clear" w:color="auto" w:fill="auto"/>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4.33</w:t>
            </w:r>
          </w:p>
        </w:tc>
        <w:tc>
          <w:tcPr>
            <w:tcW w:w="1014" w:type="pct"/>
            <w:shd w:val="clear" w:color="auto" w:fill="auto"/>
            <w:noWrap/>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restar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D效益</w:t>
            </w: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D1社会效益</w:t>
            </w:r>
          </w:p>
        </w:tc>
        <w:tc>
          <w:tcPr>
            <w:tcW w:w="837" w:type="pct"/>
            <w:shd w:val="clear" w:color="auto" w:fill="auto"/>
            <w:vAlign w:val="center"/>
          </w:tcPr>
          <w:p>
            <w:pPr>
              <w:jc w:val="center"/>
              <w:rPr>
                <w:rFonts w:ascii="仿宋_GB2312" w:hAnsi="仿宋_GB2312" w:eastAsia="仿宋_GB2312"/>
                <w:sz w:val="20"/>
                <w:szCs w:val="20"/>
              </w:rPr>
            </w:pPr>
            <w:r>
              <w:rPr>
                <w:rFonts w:hint="eastAsia" w:ascii="仿宋_GB2312" w:hAnsi="仿宋_GB2312" w:eastAsia="仿宋_GB2312"/>
                <w:sz w:val="20"/>
                <w:szCs w:val="20"/>
              </w:rPr>
              <w:t>15</w:t>
            </w:r>
          </w:p>
        </w:tc>
        <w:tc>
          <w:tcPr>
            <w:tcW w:w="675" w:type="pct"/>
            <w:shd w:val="clear" w:color="auto" w:fill="auto"/>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12.50</w:t>
            </w:r>
          </w:p>
        </w:tc>
        <w:tc>
          <w:tcPr>
            <w:tcW w:w="1014" w:type="pct"/>
            <w:shd w:val="clear" w:color="auto" w:fill="auto"/>
            <w:noWrap/>
            <w:vAlign w:val="center"/>
          </w:tcPr>
          <w:p>
            <w:pPr>
              <w:jc w:val="center"/>
              <w:rPr>
                <w:rFonts w:ascii="仿宋_GB2312" w:hAnsi="仿宋_GB2312" w:eastAsia="仿宋_GB2312"/>
                <w:sz w:val="22"/>
                <w:szCs w:val="22"/>
              </w:rPr>
            </w:pPr>
            <w:r>
              <w:rPr>
                <w:rFonts w:hint="eastAsia" w:ascii="仿宋_GB2312" w:hAnsi="仿宋_GB2312" w:eastAsia="仿宋_GB2312"/>
                <w:sz w:val="22"/>
                <w:szCs w:val="22"/>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D2可持续发展</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11</w:t>
            </w:r>
          </w:p>
        </w:tc>
        <w:tc>
          <w:tcPr>
            <w:tcW w:w="675" w:type="pct"/>
            <w:shd w:val="clear" w:color="auto" w:fill="auto"/>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10.20</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2" w:type="pct"/>
            <w:vMerge w:val="continue"/>
            <w:vAlign w:val="center"/>
          </w:tcPr>
          <w:p>
            <w:pPr>
              <w:rPr>
                <w:rFonts w:ascii="仿宋_GB2312" w:hAnsi="仿宋_GB2312" w:eastAsia="仿宋_GB2312"/>
                <w:color w:val="000000"/>
                <w:sz w:val="20"/>
                <w:szCs w:val="20"/>
              </w:rPr>
            </w:pPr>
          </w:p>
        </w:tc>
        <w:tc>
          <w:tcPr>
            <w:tcW w:w="1312" w:type="pct"/>
            <w:shd w:val="clear" w:color="auto" w:fill="auto"/>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D3满意度</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4</w:t>
            </w:r>
          </w:p>
        </w:tc>
        <w:tc>
          <w:tcPr>
            <w:tcW w:w="675" w:type="pct"/>
            <w:shd w:val="clear" w:color="auto" w:fill="auto"/>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4.00</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4" w:type="pct"/>
            <w:gridSpan w:val="2"/>
            <w:vAlign w:val="center"/>
          </w:tcPr>
          <w:p>
            <w:pPr>
              <w:rPr>
                <w:rFonts w:ascii="仿宋_GB2312" w:hAnsi="仿宋_GB2312" w:eastAsia="仿宋_GB2312"/>
                <w:color w:val="000000"/>
                <w:sz w:val="20"/>
                <w:szCs w:val="20"/>
              </w:rPr>
            </w:pPr>
            <w:r>
              <w:rPr>
                <w:rFonts w:hint="eastAsia" w:ascii="仿宋_GB2312" w:hAnsi="仿宋_GB2312" w:eastAsia="仿宋_GB2312"/>
                <w:color w:val="000000"/>
                <w:sz w:val="20"/>
                <w:szCs w:val="20"/>
              </w:rPr>
              <w:t>合计</w:t>
            </w:r>
          </w:p>
        </w:tc>
        <w:tc>
          <w:tcPr>
            <w:tcW w:w="837" w:type="pct"/>
            <w:shd w:val="clear" w:color="auto" w:fill="auto"/>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100</w:t>
            </w:r>
          </w:p>
        </w:tc>
        <w:tc>
          <w:tcPr>
            <w:tcW w:w="675" w:type="pct"/>
            <w:shd w:val="clear" w:color="auto" w:fill="auto"/>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86.79</w:t>
            </w:r>
          </w:p>
        </w:tc>
        <w:tc>
          <w:tcPr>
            <w:tcW w:w="1014" w:type="pct"/>
            <w:shd w:val="clear" w:color="auto" w:fill="auto"/>
            <w:noWrap/>
            <w:vAlign w:val="center"/>
          </w:tcPr>
          <w:p>
            <w:pPr>
              <w:jc w:val="center"/>
              <w:rPr>
                <w:rFonts w:ascii="仿宋_GB2312" w:hAnsi="仿宋_GB2312" w:eastAsia="仿宋_GB2312"/>
                <w:color w:val="000000"/>
                <w:sz w:val="22"/>
                <w:szCs w:val="22"/>
              </w:rPr>
            </w:pPr>
            <w:r>
              <w:rPr>
                <w:rFonts w:hint="eastAsia" w:ascii="仿宋_GB2312" w:hAnsi="仿宋_GB2312" w:eastAsia="仿宋_GB2312"/>
                <w:color w:val="000000"/>
                <w:sz w:val="22"/>
                <w:szCs w:val="22"/>
              </w:rPr>
              <w:t>86.79%</w:t>
            </w:r>
          </w:p>
        </w:tc>
      </w:tr>
    </w:tbl>
    <w:p>
      <w:pPr>
        <w:pStyle w:val="38"/>
      </w:pPr>
    </w:p>
    <w:p>
      <w:pPr>
        <w:pStyle w:val="2"/>
        <w:ind w:firstLine="640"/>
      </w:pPr>
      <w:r>
        <w:rPr>
          <w:rFonts w:hint="eastAsia"/>
        </w:rPr>
        <w:t>取得的主要成效</w:t>
      </w:r>
    </w:p>
    <w:p>
      <w:pPr>
        <w:pStyle w:val="3"/>
        <w:ind w:firstLine="643"/>
        <w:rPr>
          <w:b/>
          <w:bCs/>
        </w:rPr>
      </w:pPr>
      <w:bookmarkStart w:id="0" w:name="_Toc107342687"/>
      <w:r>
        <w:rPr>
          <w:rFonts w:hint="eastAsia"/>
          <w:b/>
          <w:bCs/>
        </w:rPr>
        <w:t>第一，响应国家战略布局，积极组织探索海开行设立</w:t>
      </w:r>
      <w:bookmarkEnd w:id="0"/>
      <w:r>
        <w:rPr>
          <w:rFonts w:hint="eastAsia"/>
          <w:b/>
          <w:bCs/>
        </w:rPr>
        <w:t>。</w:t>
      </w:r>
      <w:r>
        <w:t>2019</w:t>
      </w:r>
      <w:r>
        <w:rPr>
          <w:rFonts w:hint="eastAsia"/>
        </w:rPr>
        <w:t>年1</w:t>
      </w:r>
      <w:r>
        <w:t>0</w:t>
      </w:r>
      <w:r>
        <w:rPr>
          <w:rFonts w:hint="eastAsia"/>
        </w:rPr>
        <w:t>月，为积极响应国务院发布《</w:t>
      </w:r>
      <w:r>
        <w:t>中共中央国务院</w:t>
      </w:r>
      <w:r>
        <w:rPr>
          <w:rFonts w:hint="eastAsia"/>
        </w:rPr>
        <w:t xml:space="preserve"> </w:t>
      </w:r>
      <w:r>
        <w:t>关于支持深圳建设中国特色社会主义先行示范区的意见</w:t>
      </w:r>
      <w:r>
        <w:rPr>
          <w:rFonts w:hint="eastAsia"/>
        </w:rPr>
        <w:t>》（以下简称《意见》）探索设立国际海洋开发银行（以下简称</w:t>
      </w:r>
      <w:r>
        <w:rPr>
          <w:rFonts w:hint="eastAsia"/>
          <w:lang w:val="en-US"/>
        </w:rPr>
        <w:t>“海开行”）的要求</w:t>
      </w:r>
      <w:r>
        <w:rPr>
          <w:rFonts w:hint="eastAsia"/>
        </w:rPr>
        <w:t>，市地方金融监管局在《意见》发布的</w:t>
      </w:r>
      <w:r>
        <w:t>3</w:t>
      </w:r>
      <w:r>
        <w:rPr>
          <w:rFonts w:hint="eastAsia"/>
        </w:rPr>
        <w:t>个月内完成了海开行筹建的初步思路，并于2</w:t>
      </w:r>
      <w:r>
        <w:t>020</w:t>
      </w:r>
      <w:r>
        <w:rPr>
          <w:rFonts w:hint="eastAsia"/>
        </w:rPr>
        <w:t>年8月启动实施有关课题研究。截至2021年9月，市地方金融监管局完成3篇子报告及1篇主报告，从海开行建设的可行性、必要性、风险性等维度进行了深入研究，并将有关结果呈递给有关部门。</w:t>
      </w:r>
    </w:p>
    <w:p>
      <w:pPr>
        <w:pStyle w:val="3"/>
        <w:ind w:firstLine="643"/>
        <w:rPr>
          <w:b/>
          <w:bCs/>
        </w:rPr>
      </w:pPr>
      <w:bookmarkStart w:id="1" w:name="_Toc107342688"/>
      <w:r>
        <w:rPr>
          <w:rFonts w:hint="eastAsia"/>
          <w:b/>
          <w:bCs/>
        </w:rPr>
        <w:t>第二，积极推动金融创新发展，开展金融标准化建设工作，提升金融质量</w:t>
      </w:r>
      <w:bookmarkEnd w:id="1"/>
      <w:r>
        <w:rPr>
          <w:rFonts w:hint="eastAsia"/>
          <w:b/>
          <w:bCs/>
        </w:rPr>
        <w:t>。一方面，</w:t>
      </w:r>
      <w:r>
        <w:rPr>
          <w:rFonts w:hint="eastAsia"/>
        </w:rPr>
        <w:t>自2</w:t>
      </w:r>
      <w:r>
        <w:t>016</w:t>
      </w:r>
      <w:r>
        <w:rPr>
          <w:rFonts w:hint="eastAsia"/>
        </w:rPr>
        <w:t>年12月</w:t>
      </w:r>
      <w:r>
        <w:t>全国首个地方金融标准化委员会</w:t>
      </w:r>
      <w:r>
        <w:rPr>
          <w:rFonts w:hint="eastAsia"/>
        </w:rPr>
        <w:t>（以下简称“金标委”）</w:t>
      </w:r>
      <w:r>
        <w:t>在深圳成立</w:t>
      </w:r>
      <w:r>
        <w:rPr>
          <w:rFonts w:hint="eastAsia"/>
        </w:rPr>
        <w:t>以来，市地方金融监管局结合深圳市金融创新发展、整体金融质量提升的需要，委托深圳市标准技术研究院（以下简称“深圳标准院”）协助运营金标委及开展金融标准相关工作。在</w:t>
      </w:r>
      <w:r>
        <w:t>2021</w:t>
      </w:r>
      <w:r>
        <w:rPr>
          <w:rFonts w:hint="eastAsia"/>
        </w:rPr>
        <w:t>年，市地方金融监管局在深圳标准院的协助下，结合深圳市实际情况制定了多份深圳金融标准工作方案，方案中明确了各处室在2</w:t>
      </w:r>
      <w:r>
        <w:t>021</w:t>
      </w:r>
      <w:r>
        <w:rPr>
          <w:rFonts w:hint="eastAsia"/>
        </w:rPr>
        <w:t>年金融标准化建设中的工作任务，明确了主体责任，提升了深圳市金融标准化建设的效率。</w:t>
      </w:r>
    </w:p>
    <w:p>
      <w:pPr>
        <w:pStyle w:val="3"/>
        <w:ind w:firstLine="643"/>
      </w:pPr>
      <w:r>
        <w:rPr>
          <w:rFonts w:hint="eastAsia"/>
          <w:b/>
          <w:bCs/>
        </w:rPr>
        <w:t>另一方面，</w:t>
      </w:r>
      <w:r>
        <w:rPr>
          <w:rFonts w:hint="eastAsia"/>
        </w:rPr>
        <w:t>对照深圳金融标准工作方案，市地方金融监管局在2</w:t>
      </w:r>
      <w:r>
        <w:t>021</w:t>
      </w:r>
      <w:r>
        <w:rPr>
          <w:rFonts w:hint="eastAsia"/>
        </w:rPr>
        <w:t>年共计收集申报1</w:t>
      </w:r>
      <w:r>
        <w:t>1</w:t>
      </w:r>
      <w:r>
        <w:rPr>
          <w:rFonts w:hint="eastAsia"/>
        </w:rPr>
        <w:t>项</w:t>
      </w:r>
      <w:r>
        <w:t>地方标准制修订计划项目</w:t>
      </w:r>
      <w:r>
        <w:rPr>
          <w:rFonts w:hint="eastAsia"/>
        </w:rPr>
        <w:t>，较2</w:t>
      </w:r>
      <w:r>
        <w:t>020</w:t>
      </w:r>
      <w:r>
        <w:rPr>
          <w:rFonts w:hint="eastAsia"/>
        </w:rPr>
        <w:t>年6项计划项目提升了8</w:t>
      </w:r>
      <w:r>
        <w:t>3%</w:t>
      </w:r>
      <w:r>
        <w:rPr>
          <w:rFonts w:hint="eastAsia"/>
        </w:rPr>
        <w:t>，其中《企业征信指标体系》申报成功立项。同时，市地方金融监管局金融服务处指导的两项团体</w:t>
      </w:r>
      <w:r>
        <w:rPr>
          <w:rStyle w:val="24"/>
        </w:rPr>
        <w:footnoteReference w:id="2"/>
      </w:r>
      <w:r>
        <w:rPr>
          <w:rFonts w:hint="eastAsia"/>
        </w:rPr>
        <w:t>标准获得工信部批准列入的2</w:t>
      </w:r>
      <w:r>
        <w:t>021</w:t>
      </w:r>
      <w:r>
        <w:rPr>
          <w:rFonts w:hint="eastAsia"/>
        </w:rPr>
        <w:t>年“百项团体标准应用示范项目”。根据《深圳市银行业发展服务质量指数专题研究》报告显示，深圳市银行业2</w:t>
      </w:r>
      <w:r>
        <w:t>020</w:t>
      </w:r>
      <w:r>
        <w:rPr>
          <w:rFonts w:hint="eastAsia"/>
        </w:rPr>
        <w:t>年指数分达8</w:t>
      </w:r>
      <w:r>
        <w:t>7.54</w:t>
      </w:r>
      <w:r>
        <w:rPr>
          <w:rFonts w:hint="eastAsia"/>
        </w:rPr>
        <w:t>分，创历史新高，且2</w:t>
      </w:r>
      <w:r>
        <w:t>010-2020</w:t>
      </w:r>
      <w:r>
        <w:rPr>
          <w:rFonts w:hint="eastAsia"/>
        </w:rPr>
        <w:t>年期间呈现稳步上升趋势。</w:t>
      </w:r>
    </w:p>
    <w:p>
      <w:pPr>
        <w:pStyle w:val="3"/>
        <w:ind w:firstLine="643"/>
        <w:rPr>
          <w:b/>
          <w:bCs/>
        </w:rPr>
      </w:pPr>
      <w:bookmarkStart w:id="2" w:name="_Toc107342689"/>
      <w:r>
        <w:rPr>
          <w:rFonts w:hint="eastAsia"/>
          <w:b/>
          <w:bCs/>
        </w:rPr>
        <w:t>第三，积极参加广州金交会，大力宣传深圳市金融创新发展环境</w:t>
      </w:r>
      <w:bookmarkEnd w:id="2"/>
      <w:r>
        <w:rPr>
          <w:rFonts w:hint="eastAsia"/>
          <w:b/>
          <w:bCs/>
        </w:rPr>
        <w:t>。</w:t>
      </w:r>
      <w:r>
        <w:rPr>
          <w:rFonts w:hint="eastAsia"/>
          <w:lang w:val="en-US"/>
        </w:rPr>
        <w:t>深圳作为拥有“双区”建设、深圳综合改革试点、前海等重大平台的城市，积极及参与</w:t>
      </w:r>
      <w:r>
        <w:rPr>
          <w:lang w:val="en-US"/>
        </w:rPr>
        <w:t>中国（广州）国际金融交易博览会</w:t>
      </w:r>
      <w:r>
        <w:rPr>
          <w:rFonts w:hint="eastAsia"/>
          <w:lang w:val="en-US"/>
        </w:rPr>
        <w:t>（以下简称“广州金交会”）。自广州金交会开展以来，深圳均积极参与其中，十年来不断向金融业展示深圳金融高质量创新发展的成果及良好的金融发展环境，极大促进了金融业人士来深投资的信心。</w:t>
      </w:r>
    </w:p>
    <w:p>
      <w:pPr>
        <w:pStyle w:val="2"/>
        <w:ind w:firstLine="640"/>
      </w:pPr>
      <w:r>
        <w:rPr>
          <w:rFonts w:hint="eastAsia"/>
        </w:rPr>
        <w:t>存在的主要问题</w:t>
      </w:r>
    </w:p>
    <w:p>
      <w:pPr>
        <w:pStyle w:val="4"/>
        <w:ind w:firstLine="643"/>
      </w:pPr>
      <w:bookmarkStart w:id="3" w:name="_Toc107342691"/>
      <w:r>
        <w:rPr>
          <w:rFonts w:hint="eastAsia"/>
        </w:rPr>
        <w:t>预算测算内容不严谨，部分指标设置不科学</w:t>
      </w:r>
      <w:bookmarkEnd w:id="3"/>
      <w:r>
        <w:rPr>
          <w:rFonts w:hint="eastAsia"/>
        </w:rPr>
        <w:t>。</w:t>
      </w:r>
    </w:p>
    <w:p>
      <w:pPr>
        <w:pStyle w:val="3"/>
        <w:ind w:firstLine="643"/>
        <w:rPr>
          <w:b/>
          <w:bCs/>
        </w:rPr>
      </w:pPr>
      <w:r>
        <w:rPr>
          <w:rFonts w:hint="eastAsia"/>
          <w:b/>
          <w:bCs/>
        </w:rPr>
        <w:t>第一，个别子项目在绩效目标表中呈现的预算测算内容存在不严谨。</w:t>
      </w:r>
      <w:r>
        <w:rPr>
          <w:rFonts w:hint="eastAsia"/>
        </w:rPr>
        <w:t>深化金融改革子项在2</w:t>
      </w:r>
      <w:r>
        <w:t>021</w:t>
      </w:r>
      <w:r>
        <w:rPr>
          <w:rFonts w:hint="eastAsia"/>
        </w:rPr>
        <w:t>年对《深圳市金融业运行情况分析研究》进行预算测算时，存在项目产出成果单价加总值与预算申报总价矛盾，具体表现为：对研究模块的测算不清晰，未体现出四份季度报告总计还是单份季度报告测算。</w:t>
      </w:r>
    </w:p>
    <w:p>
      <w:pPr>
        <w:pStyle w:val="3"/>
        <w:ind w:firstLine="643"/>
      </w:pPr>
      <w:r>
        <w:rPr>
          <w:rFonts w:hint="eastAsia"/>
          <w:b/>
          <w:bCs/>
        </w:rPr>
        <w:t>第二，项目绩效指标设置不科学，部分指标不明确或与子项目目标存在偏差</w:t>
      </w:r>
      <w:r>
        <w:rPr>
          <w:rFonts w:hint="eastAsia"/>
        </w:rPr>
        <w:t>。</w:t>
      </w:r>
      <w:r>
        <w:rPr>
          <w:rFonts w:hint="eastAsia"/>
          <w:b/>
          <w:bCs/>
        </w:rPr>
        <w:t>一方面，</w:t>
      </w:r>
      <w:r>
        <w:rPr>
          <w:rFonts w:hint="eastAsia"/>
        </w:rPr>
        <w:t>个别指标指代不明。例如，在参与广州金交会活动的绩效指标设置中，“</w:t>
      </w:r>
      <w:r>
        <w:t>金交会参展完成及时率</w:t>
      </w:r>
      <w:r>
        <w:rPr>
          <w:rFonts w:hint="eastAsia"/>
        </w:rPr>
        <w:t>”“</w:t>
      </w:r>
      <w:r>
        <w:t>金交会参会单位满意度</w:t>
      </w:r>
      <w:r>
        <w:rPr>
          <w:rFonts w:hint="eastAsia"/>
        </w:rPr>
        <w:t>”等指标，</w:t>
      </w:r>
      <w:r>
        <w:rPr>
          <w:rFonts w:hint="eastAsia"/>
          <w:lang w:val="en-US"/>
        </w:rPr>
        <w:t>未明确</w:t>
      </w:r>
      <w:r>
        <w:t>是基于深圳展区还是以大会整体情况为出发点</w:t>
      </w:r>
      <w:r>
        <w:rPr>
          <w:rFonts w:hint="eastAsia"/>
        </w:rPr>
        <w:t>而</w:t>
      </w:r>
      <w:r>
        <w:t>设立，存在指标设置</w:t>
      </w:r>
      <w:r>
        <w:rPr>
          <w:rFonts w:hint="eastAsia"/>
        </w:rPr>
        <w:t>指代不明确。</w:t>
      </w:r>
      <w:r>
        <w:rPr>
          <w:rFonts w:hint="eastAsia"/>
          <w:b/>
          <w:bCs/>
        </w:rPr>
        <w:t>另一方面，</w:t>
      </w:r>
      <w:r>
        <w:rPr>
          <w:rFonts w:hint="eastAsia"/>
        </w:rPr>
        <w:t>个别指标与项目目标存在偏差。例如，深化金融改革子项中所申报的绩效目标中明确，在1、4、7、1</w:t>
      </w:r>
      <w:r>
        <w:t>0</w:t>
      </w:r>
      <w:r>
        <w:rPr>
          <w:rFonts w:hint="eastAsia"/>
        </w:rPr>
        <w:t>月中上旬完成上一季度《深圳市金融业运行情况分析研究》，而在实际执行过程中，仅一季度依照项目绩效目标既定的时间完成，且该项绩效指标值为在下一季度首月完成上一季度分析报告与总体目标存在偏差。</w:t>
      </w:r>
    </w:p>
    <w:p>
      <w:pPr>
        <w:pStyle w:val="3"/>
        <w:ind w:firstLine="643"/>
      </w:pPr>
      <w:r>
        <w:rPr>
          <w:rFonts w:hint="eastAsia"/>
          <w:b/>
          <w:bCs/>
        </w:rPr>
        <w:t>第三，项目绩效申报表、绩效自评表指标内容不匹配。</w:t>
      </w:r>
      <w:r>
        <w:rPr>
          <w:rFonts w:hint="eastAsia"/>
        </w:rPr>
        <w:t>深化金融改革子项中绩效目标申报表与自评表中年度绩效指标内容前后不一致，申报表、自评表产出和效益指标总计分别为7条指标、8条指标，仅3条指标为自评表及申报表中共同存在的指标，差异较大。</w:t>
      </w:r>
    </w:p>
    <w:p>
      <w:pPr>
        <w:pStyle w:val="4"/>
        <w:ind w:firstLine="643"/>
      </w:pPr>
      <w:bookmarkStart w:id="4" w:name="_Toc107342692"/>
      <w:r>
        <w:rPr>
          <w:rFonts w:hint="eastAsia"/>
        </w:rPr>
        <w:t>项目监督管理力度有待加强</w:t>
      </w:r>
      <w:bookmarkEnd w:id="4"/>
      <w:r>
        <w:rPr>
          <w:rFonts w:hint="eastAsia"/>
        </w:rPr>
        <w:t>。</w:t>
      </w:r>
    </w:p>
    <w:p>
      <w:pPr>
        <w:pStyle w:val="3"/>
        <w:ind w:firstLine="640"/>
      </w:pPr>
      <w:r>
        <w:rPr>
          <w:rFonts w:hint="eastAsia"/>
        </w:rPr>
        <w:t>虽然市地方金融监督管理局内部建设项目实施管理制度，但调研发现，存在个别项目活动宣传管理不到位的情况。具体表现为：在金融标准建设活动中，原计划新增8家金融机构参与地方标准建设，但由于项目宣传力度不足，且项目开展中未及时发现并采取相应措施发动金融机构积极参与启动，导致该活动最终没有有效吸引1家金融机构参与其中。</w:t>
      </w:r>
    </w:p>
    <w:p>
      <w:pPr>
        <w:pStyle w:val="4"/>
        <w:ind w:firstLine="643"/>
      </w:pPr>
      <w:bookmarkStart w:id="5" w:name="_Toc107342694"/>
      <w:r>
        <w:rPr>
          <w:rFonts w:hint="eastAsia"/>
        </w:rPr>
        <w:t>金融改革创新研究成果运用机制不够完善</w:t>
      </w:r>
      <w:bookmarkEnd w:id="5"/>
      <w:r>
        <w:rPr>
          <w:rFonts w:hint="eastAsia"/>
        </w:rPr>
        <w:t>。</w:t>
      </w:r>
    </w:p>
    <w:p>
      <w:pPr>
        <w:pStyle w:val="3"/>
        <w:ind w:firstLine="640"/>
      </w:pPr>
      <w:r>
        <w:rPr>
          <w:rFonts w:hint="eastAsia"/>
        </w:rPr>
        <w:t>市地方监管局就课题管理制定了《</w:t>
      </w:r>
      <w:r>
        <w:t>深圳市地方金融监督管理局课题管理办法（试行）</w:t>
      </w:r>
      <w:r>
        <w:rPr>
          <w:rFonts w:hint="eastAsia"/>
        </w:rPr>
        <w:t>》，并在成果应用中提及动态应用及成果共享。但并未就成果应用及共享的范围、内容做出规范，同时在实际执行中主要用于决策参考、业务应用、报送市政府三个方面，并未共享至类如：其他事业单位、学术研究机构、金融业相关机构，公开机制有待完善。</w:t>
      </w:r>
    </w:p>
    <w:p>
      <w:pPr>
        <w:pStyle w:val="2"/>
        <w:ind w:firstLine="640"/>
      </w:pPr>
      <w:r>
        <w:rPr>
          <w:rFonts w:hint="eastAsia"/>
        </w:rPr>
        <w:t>有关建议</w:t>
      </w:r>
    </w:p>
    <w:p>
      <w:pPr>
        <w:pStyle w:val="4"/>
        <w:ind w:firstLine="643"/>
      </w:pPr>
      <w:bookmarkStart w:id="6" w:name="_Toc107342696"/>
      <w:r>
        <w:rPr>
          <w:rFonts w:hint="eastAsia"/>
        </w:rPr>
        <w:t>增强预算管理力度，科学编制绩效目标。</w:t>
      </w:r>
      <w:bookmarkEnd w:id="6"/>
    </w:p>
    <w:p>
      <w:pPr>
        <w:pStyle w:val="3"/>
        <w:ind w:firstLine="643"/>
        <w:rPr>
          <w:rFonts w:ascii="仿宋_GB2312" w:hAnsi="仿宋_GB2312"/>
        </w:rPr>
      </w:pPr>
      <w:r>
        <w:rPr>
          <w:rFonts w:hint="eastAsia" w:ascii="仿宋_GB2312" w:hAnsi="仿宋_GB2312"/>
          <w:b/>
          <w:bCs/>
        </w:rPr>
        <w:t>一是</w:t>
      </w:r>
      <w:r>
        <w:rPr>
          <w:rFonts w:hint="eastAsia" w:ascii="仿宋_GB2312" w:hAnsi="仿宋_GB2312"/>
        </w:rPr>
        <w:t>规范测算内容，确保测算前后逻辑性，避免测算模块存在多重标准及不清晰的情况，并开展处室内部测算复核工作，确保各项经费测算科学合理。</w:t>
      </w:r>
      <w:r>
        <w:rPr>
          <w:rFonts w:hint="eastAsia" w:ascii="仿宋_GB2312" w:hAnsi="仿宋_GB2312"/>
          <w:b/>
          <w:bCs/>
        </w:rPr>
        <w:t>二是</w:t>
      </w:r>
      <w:r>
        <w:rPr>
          <w:rFonts w:hint="eastAsia" w:ascii="仿宋_GB2312" w:hAnsi="仿宋_GB2312"/>
        </w:rPr>
        <w:t>结合项目长期目标，年度目标等科学设置绩效指标及目标值，同时避免指标在不同项目中的存在的指代不明，指标设置完成可开展内部复核或自检复核，确保目标的科学性及合理性。</w:t>
      </w:r>
      <w:r>
        <w:rPr>
          <w:rFonts w:hint="eastAsia" w:ascii="仿宋_GB2312" w:hAnsi="仿宋_GB2312"/>
          <w:b/>
          <w:bCs/>
        </w:rPr>
        <w:t>三是</w:t>
      </w:r>
      <w:r>
        <w:rPr>
          <w:rFonts w:hint="eastAsia" w:ascii="仿宋_GB2312" w:hAnsi="仿宋_GB2312"/>
        </w:rPr>
        <w:t>项目自评工作应依据年初的项目绩效目标申报表中的指标开展，避免出现项目自评表中的指标与绩效目标表中的指标不一致情况。</w:t>
      </w:r>
    </w:p>
    <w:p>
      <w:pPr>
        <w:pStyle w:val="4"/>
        <w:ind w:firstLine="643"/>
      </w:pPr>
      <w:bookmarkStart w:id="7" w:name="_Toc107342698"/>
      <w:r>
        <w:rPr>
          <w:rFonts w:hint="eastAsia"/>
        </w:rPr>
        <w:t>持续推进标准化建设，提高项目资金使用效率。</w:t>
      </w:r>
      <w:bookmarkEnd w:id="7"/>
    </w:p>
    <w:p>
      <w:pPr>
        <w:pStyle w:val="3"/>
        <w:ind w:firstLine="643"/>
      </w:pPr>
      <w:r>
        <w:rPr>
          <w:rFonts w:hint="eastAsia"/>
          <w:b/>
          <w:bCs/>
        </w:rPr>
        <w:t>一是</w:t>
      </w:r>
      <w:r>
        <w:rPr>
          <w:rFonts w:hint="eastAsia"/>
        </w:rPr>
        <w:t>立足深圳市金融业发展情况，结合深圳市改革创新需要持续推进金融标准化建设。为深圳市金融类企业开展标准化申报及立项提供指导、资源协调、资金援助等。</w:t>
      </w:r>
      <w:r>
        <w:rPr>
          <w:rFonts w:hint="eastAsia"/>
          <w:b/>
          <w:bCs/>
        </w:rPr>
        <w:t>二是</w:t>
      </w:r>
      <w:r>
        <w:rPr>
          <w:rFonts w:hint="eastAsia"/>
        </w:rPr>
        <w:t>将标准化建设申报通过率纳入考核之中或设定具体年度任务数，提升标准化申报质量，提高财政资金使用效益。同时，对已通过申报项目开展跟踪核查工作，提供专家指导，确保申报项目高效保质完成。</w:t>
      </w:r>
    </w:p>
    <w:p>
      <w:pPr>
        <w:pStyle w:val="4"/>
        <w:ind w:firstLine="643"/>
      </w:pPr>
      <w:bookmarkStart w:id="8" w:name="_Toc107342699"/>
      <w:r>
        <w:rPr>
          <w:rFonts w:hint="eastAsia"/>
        </w:rPr>
        <w:t>完善研究成果运营机制，提高成果运用率。</w:t>
      </w:r>
      <w:bookmarkEnd w:id="8"/>
    </w:p>
    <w:p>
      <w:pPr>
        <w:pStyle w:val="3"/>
        <w:ind w:firstLine="640"/>
      </w:pPr>
      <w:r>
        <w:rPr>
          <w:rFonts w:hint="eastAsia"/>
          <w:lang w:val="en-US"/>
        </w:rPr>
        <w:t>一是完善课题管理办法公开类型及方法的划分</w:t>
      </w:r>
      <w:r>
        <w:rPr>
          <w:rFonts w:hint="eastAsia"/>
          <w:b/>
          <w:bCs/>
          <w:lang w:val="en-US"/>
        </w:rPr>
        <w:t>，</w:t>
      </w:r>
      <w:r>
        <w:rPr>
          <w:rFonts w:hint="eastAsia"/>
          <w:lang w:val="en-US"/>
        </w:rPr>
        <w:t>依据项目研究成果划分项目可公开类型，确保项目成果实现共享，同时亦能为其他项目的开展提供参考性建议。</w:t>
      </w:r>
      <w:r>
        <w:rPr>
          <w:rFonts w:hint="eastAsia"/>
          <w:b/>
          <w:bCs/>
          <w:lang w:val="en-US"/>
        </w:rPr>
        <w:t>二是</w:t>
      </w:r>
      <w:r>
        <w:rPr>
          <w:rFonts w:hint="eastAsia"/>
          <w:lang w:val="en-US"/>
        </w:rPr>
        <w:t>构建项目成果报告库，将研究、分析报告进行归档整理，方便决策、参考、分析时及时调用相关分析报告作为参考。</w:t>
      </w:r>
      <w:r>
        <w:rPr>
          <w:rFonts w:hint="eastAsia"/>
          <w:b/>
          <w:bCs/>
          <w:lang w:val="en-US"/>
        </w:rPr>
        <w:t>三是</w:t>
      </w:r>
      <w:r>
        <w:rPr>
          <w:rFonts w:hint="eastAsia"/>
          <w:lang w:val="en-US"/>
        </w:rPr>
        <w:t>加强政策、成果的宣贯，及时将相关信息传达至企业或个人，有助于调动企业参与金融标准的制定，同时能改善深圳市金融业发展环境。</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等线"/>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13"/>
                      <w:rPr>
                        <w:rFonts w:eastAsia="等线"/>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6"/>
      </w:pPr>
      <w:r>
        <w:rPr>
          <w:rStyle w:val="24"/>
        </w:rPr>
        <w:footnoteRef/>
      </w:r>
      <w:r>
        <w:t xml:space="preserve"> 2019</w:t>
      </w:r>
      <w:r>
        <w:rPr>
          <w:rFonts w:hint="eastAsia"/>
        </w:rPr>
        <w:t>年</w:t>
      </w:r>
      <w:r>
        <w:t>深圳市委六届十一次全会对全市深化机构改革工作进行动员部署后</w:t>
      </w:r>
      <w:r>
        <w:rPr>
          <w:rFonts w:hint="eastAsia"/>
        </w:rPr>
        <w:t>，</w:t>
      </w:r>
      <w:r>
        <w:t>1月10日，《深圳市机构改革方案》正式发布</w:t>
      </w:r>
      <w:r>
        <w:rPr>
          <w:rFonts w:hint="eastAsia"/>
        </w:rPr>
        <w:t>。</w:t>
      </w:r>
      <w:r>
        <w:t>市政府金融发展服务办公室(市金融监督管理局)更名为市地方金融监督管理局,加挂市政府金融工作办公室牌子</w:t>
      </w:r>
      <w:r>
        <w:rPr>
          <w:rFonts w:hint="eastAsia"/>
        </w:rPr>
        <w:t>。</w:t>
      </w:r>
    </w:p>
  </w:footnote>
  <w:footnote w:id="1">
    <w:p>
      <w:pPr>
        <w:pStyle w:val="16"/>
      </w:pPr>
      <w:r>
        <w:rPr>
          <w:rStyle w:val="24"/>
        </w:rPr>
        <w:footnoteRef/>
      </w:r>
      <w:r>
        <w:t xml:space="preserve"> 《项目支出绩效评价管理办法》对绩效评价结果划分为4个等级：90（含）～100分为优、80（含）～90分为良、60（含）～80分为中、60分以下为差。</w:t>
      </w:r>
    </w:p>
  </w:footnote>
  <w:footnote w:id="2">
    <w:p>
      <w:pPr>
        <w:pStyle w:val="16"/>
      </w:pPr>
      <w:r>
        <w:rPr>
          <w:rStyle w:val="24"/>
        </w:rPr>
        <w:footnoteRef/>
      </w:r>
      <w:r>
        <w:t xml:space="preserve"> </w:t>
      </w:r>
      <w:r>
        <w:rPr>
          <w:rFonts w:hint="eastAsia"/>
        </w:rPr>
        <w:t>《保险行业基于云计算平台支撑的研运能力成熟模型》《保险行业云计算软件产品技术规范第1部分：虚拟化软件》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671B8"/>
    <w:multiLevelType w:val="multilevel"/>
    <w:tmpl w:val="610671B8"/>
    <w:lvl w:ilvl="0" w:tentative="0">
      <w:start w:val="1"/>
      <w:numFmt w:val="chineseCountingThousand"/>
      <w:pStyle w:val="2"/>
      <w:suff w:val="nothing"/>
      <w:lvlText w:val="%1、"/>
      <w:lvlJc w:val="left"/>
      <w:pPr>
        <w:ind w:left="425" w:hanging="425"/>
      </w:pPr>
      <w:rPr>
        <w:rFonts w:hint="eastAsia"/>
      </w:rPr>
    </w:lvl>
    <w:lvl w:ilvl="1" w:tentative="0">
      <w:start w:val="1"/>
      <w:numFmt w:val="chineseCountingThousand"/>
      <w:pStyle w:val="4"/>
      <w:suff w:val="nothing"/>
      <w:lvlText w:val="（%2）"/>
      <w:lvlJc w:val="left"/>
      <w:pPr>
        <w:ind w:left="992" w:hanging="567"/>
      </w:pPr>
      <w:rPr>
        <w:rFonts w:hint="eastAsia"/>
      </w:rPr>
    </w:lvl>
    <w:lvl w:ilvl="2" w:tentative="0">
      <w:start w:val="1"/>
      <w:numFmt w:val="decimal"/>
      <w:pStyle w:val="5"/>
      <w:suff w:val="nothing"/>
      <w:lvlText w:val="%3. "/>
      <w:lvlJc w:val="left"/>
      <w:pPr>
        <w:ind w:left="992" w:hanging="567"/>
      </w:pPr>
      <w:rPr>
        <w:rFonts w:hint="eastAsia"/>
      </w:rPr>
    </w:lvl>
    <w:lvl w:ilvl="3" w:tentative="0">
      <w:start w:val="1"/>
      <w:numFmt w:val="decimal"/>
      <w:pStyle w:val="6"/>
      <w:suff w:val="nothing"/>
      <w:lvlText w:val="（%4）"/>
      <w:lvlJc w:val="left"/>
      <w:pPr>
        <w:ind w:left="992" w:hanging="425"/>
      </w:pPr>
      <w:rPr>
        <w:rFonts w:hint="eastAsia"/>
      </w:rPr>
    </w:lvl>
    <w:lvl w:ilvl="4" w:tentative="0">
      <w:start w:val="1"/>
      <w:numFmt w:val="decimal"/>
      <w:pStyle w:val="7"/>
      <w:suff w:val="nothing"/>
      <w:lvlText w:val="%5）"/>
      <w:lvlJc w:val="left"/>
      <w:pPr>
        <w:ind w:left="992" w:hanging="113"/>
      </w:pPr>
      <w:rPr>
        <w:rFonts w:hint="eastAsia"/>
      </w:rPr>
    </w:lvl>
    <w:lvl w:ilvl="5" w:tentative="0">
      <w:start w:val="1"/>
      <w:numFmt w:val="decimal"/>
      <w:pStyle w:val="55"/>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682CEB"/>
    <w:rsid w:val="00015FD7"/>
    <w:rsid w:val="000250FC"/>
    <w:rsid w:val="00035C58"/>
    <w:rsid w:val="00036C98"/>
    <w:rsid w:val="00044534"/>
    <w:rsid w:val="0005304B"/>
    <w:rsid w:val="0005634B"/>
    <w:rsid w:val="00066C9A"/>
    <w:rsid w:val="00071965"/>
    <w:rsid w:val="00083FCC"/>
    <w:rsid w:val="000C0DDB"/>
    <w:rsid w:val="000F2B10"/>
    <w:rsid w:val="00102DB4"/>
    <w:rsid w:val="00102E6B"/>
    <w:rsid w:val="00114DEE"/>
    <w:rsid w:val="00121E22"/>
    <w:rsid w:val="00133D86"/>
    <w:rsid w:val="00147A7E"/>
    <w:rsid w:val="00172053"/>
    <w:rsid w:val="001807D4"/>
    <w:rsid w:val="0019781C"/>
    <w:rsid w:val="001B24EE"/>
    <w:rsid w:val="001B486E"/>
    <w:rsid w:val="001E3CFC"/>
    <w:rsid w:val="001E4440"/>
    <w:rsid w:val="00222A88"/>
    <w:rsid w:val="0023442A"/>
    <w:rsid w:val="00237C0D"/>
    <w:rsid w:val="00270F7F"/>
    <w:rsid w:val="00272D30"/>
    <w:rsid w:val="0027458A"/>
    <w:rsid w:val="00277770"/>
    <w:rsid w:val="00293B6C"/>
    <w:rsid w:val="002B01E4"/>
    <w:rsid w:val="002B418A"/>
    <w:rsid w:val="002B4447"/>
    <w:rsid w:val="00306E74"/>
    <w:rsid w:val="0034355A"/>
    <w:rsid w:val="00345EF3"/>
    <w:rsid w:val="00356FCE"/>
    <w:rsid w:val="0035716B"/>
    <w:rsid w:val="00374DBB"/>
    <w:rsid w:val="00384B4E"/>
    <w:rsid w:val="00390FDC"/>
    <w:rsid w:val="0039624B"/>
    <w:rsid w:val="00397DBF"/>
    <w:rsid w:val="003D3060"/>
    <w:rsid w:val="004408E8"/>
    <w:rsid w:val="004531F9"/>
    <w:rsid w:val="00477F73"/>
    <w:rsid w:val="00493F68"/>
    <w:rsid w:val="004A5E40"/>
    <w:rsid w:val="004D5BB2"/>
    <w:rsid w:val="00546D71"/>
    <w:rsid w:val="00560DED"/>
    <w:rsid w:val="005B59A8"/>
    <w:rsid w:val="005C4184"/>
    <w:rsid w:val="005C7243"/>
    <w:rsid w:val="005E16C6"/>
    <w:rsid w:val="00607F4F"/>
    <w:rsid w:val="00610C44"/>
    <w:rsid w:val="006369F1"/>
    <w:rsid w:val="00670309"/>
    <w:rsid w:val="00672BF2"/>
    <w:rsid w:val="00681991"/>
    <w:rsid w:val="00682CEB"/>
    <w:rsid w:val="006B5747"/>
    <w:rsid w:val="006B6D34"/>
    <w:rsid w:val="006B7700"/>
    <w:rsid w:val="006C0552"/>
    <w:rsid w:val="006D38B2"/>
    <w:rsid w:val="006E3C10"/>
    <w:rsid w:val="007046B9"/>
    <w:rsid w:val="00744BAE"/>
    <w:rsid w:val="0075746A"/>
    <w:rsid w:val="007C1028"/>
    <w:rsid w:val="007C5DBA"/>
    <w:rsid w:val="0084030D"/>
    <w:rsid w:val="008461D5"/>
    <w:rsid w:val="00854B9B"/>
    <w:rsid w:val="008656D4"/>
    <w:rsid w:val="00876C42"/>
    <w:rsid w:val="008822AB"/>
    <w:rsid w:val="008909AF"/>
    <w:rsid w:val="008A4DAC"/>
    <w:rsid w:val="008A5786"/>
    <w:rsid w:val="00910FBE"/>
    <w:rsid w:val="00926BC9"/>
    <w:rsid w:val="00926FE4"/>
    <w:rsid w:val="00944FA3"/>
    <w:rsid w:val="009535A2"/>
    <w:rsid w:val="0096155B"/>
    <w:rsid w:val="00972A33"/>
    <w:rsid w:val="00973AC2"/>
    <w:rsid w:val="009A6EC2"/>
    <w:rsid w:val="009B506F"/>
    <w:rsid w:val="009B5C0F"/>
    <w:rsid w:val="009B6DDE"/>
    <w:rsid w:val="009E5B2A"/>
    <w:rsid w:val="009F536F"/>
    <w:rsid w:val="00A05231"/>
    <w:rsid w:val="00A134E9"/>
    <w:rsid w:val="00A42809"/>
    <w:rsid w:val="00A725CC"/>
    <w:rsid w:val="00AA6DFA"/>
    <w:rsid w:val="00AB308A"/>
    <w:rsid w:val="00B00330"/>
    <w:rsid w:val="00B007AC"/>
    <w:rsid w:val="00B274E4"/>
    <w:rsid w:val="00B4122F"/>
    <w:rsid w:val="00B650D6"/>
    <w:rsid w:val="00B76B39"/>
    <w:rsid w:val="00B77990"/>
    <w:rsid w:val="00B82711"/>
    <w:rsid w:val="00B87DFC"/>
    <w:rsid w:val="00B934BC"/>
    <w:rsid w:val="00BC6E4B"/>
    <w:rsid w:val="00BF5B0B"/>
    <w:rsid w:val="00C14179"/>
    <w:rsid w:val="00C149BF"/>
    <w:rsid w:val="00C20481"/>
    <w:rsid w:val="00C27887"/>
    <w:rsid w:val="00C47486"/>
    <w:rsid w:val="00C515BC"/>
    <w:rsid w:val="00C705E2"/>
    <w:rsid w:val="00C7120D"/>
    <w:rsid w:val="00C71C8D"/>
    <w:rsid w:val="00C7785A"/>
    <w:rsid w:val="00CA53E1"/>
    <w:rsid w:val="00CA7294"/>
    <w:rsid w:val="00CB3D5E"/>
    <w:rsid w:val="00CC2F11"/>
    <w:rsid w:val="00CD5214"/>
    <w:rsid w:val="00CE7600"/>
    <w:rsid w:val="00D20AC7"/>
    <w:rsid w:val="00D3096C"/>
    <w:rsid w:val="00D32DBF"/>
    <w:rsid w:val="00D704A6"/>
    <w:rsid w:val="00D74E79"/>
    <w:rsid w:val="00D8113E"/>
    <w:rsid w:val="00DE254C"/>
    <w:rsid w:val="00DE695C"/>
    <w:rsid w:val="00E04113"/>
    <w:rsid w:val="00E041C3"/>
    <w:rsid w:val="00E20797"/>
    <w:rsid w:val="00E34DC0"/>
    <w:rsid w:val="00E427DD"/>
    <w:rsid w:val="00E449A7"/>
    <w:rsid w:val="00E55DBC"/>
    <w:rsid w:val="00E81226"/>
    <w:rsid w:val="00E858BE"/>
    <w:rsid w:val="00EC1253"/>
    <w:rsid w:val="00EC42B2"/>
    <w:rsid w:val="00EE7049"/>
    <w:rsid w:val="00EF1D4A"/>
    <w:rsid w:val="00EF1FA9"/>
    <w:rsid w:val="00F14EA6"/>
    <w:rsid w:val="00F24ACB"/>
    <w:rsid w:val="00F34D92"/>
    <w:rsid w:val="00F4691D"/>
    <w:rsid w:val="00F8405D"/>
    <w:rsid w:val="00F95D73"/>
    <w:rsid w:val="00FC36AB"/>
    <w:rsid w:val="00FE02C8"/>
    <w:rsid w:val="00FF42FB"/>
    <w:rsid w:val="00FF4B3C"/>
    <w:rsid w:val="17C9529D"/>
    <w:rsid w:val="34B2384D"/>
    <w:rsid w:val="4BAA2470"/>
    <w:rsid w:val="55482320"/>
    <w:rsid w:val="65F607F1"/>
    <w:rsid w:val="6D6D4C99"/>
    <w:rsid w:val="6E3B415D"/>
    <w:rsid w:val="FFFB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3"/>
    <w:next w:val="3"/>
    <w:link w:val="26"/>
    <w:qFormat/>
    <w:uiPriority w:val="0"/>
    <w:pPr>
      <w:numPr>
        <w:ilvl w:val="0"/>
        <w:numId w:val="1"/>
      </w:numPr>
      <w:spacing w:before="120" w:after="60"/>
      <w:ind w:left="0" w:firstLine="200"/>
      <w:outlineLvl w:val="0"/>
    </w:pPr>
    <w:rPr>
      <w:rFonts w:eastAsia="黑体"/>
      <w:bCs/>
      <w:kern w:val="44"/>
      <w:szCs w:val="44"/>
    </w:rPr>
  </w:style>
  <w:style w:type="paragraph" w:styleId="4">
    <w:name w:val="heading 2"/>
    <w:basedOn w:val="3"/>
    <w:next w:val="3"/>
    <w:link w:val="27"/>
    <w:qFormat/>
    <w:uiPriority w:val="1"/>
    <w:pPr>
      <w:keepNext/>
      <w:keepLines/>
      <w:numPr>
        <w:ilvl w:val="1"/>
        <w:numId w:val="1"/>
      </w:numPr>
      <w:spacing w:before="120" w:after="60"/>
      <w:ind w:left="0" w:firstLine="200"/>
      <w:outlineLvl w:val="1"/>
    </w:pPr>
    <w:rPr>
      <w:rFonts w:eastAsia="楷体"/>
      <w:b/>
      <w:bCs/>
      <w:szCs w:val="32"/>
    </w:rPr>
  </w:style>
  <w:style w:type="paragraph" w:styleId="5">
    <w:name w:val="heading 3"/>
    <w:basedOn w:val="3"/>
    <w:next w:val="3"/>
    <w:link w:val="28"/>
    <w:qFormat/>
    <w:uiPriority w:val="2"/>
    <w:pPr>
      <w:keepNext/>
      <w:keepLines/>
      <w:numPr>
        <w:ilvl w:val="2"/>
        <w:numId w:val="1"/>
      </w:numPr>
      <w:spacing w:before="120" w:after="60"/>
      <w:ind w:left="0" w:firstLine="200"/>
      <w:outlineLvl w:val="2"/>
    </w:pPr>
    <w:rPr>
      <w:b/>
      <w:bCs/>
      <w:szCs w:val="32"/>
    </w:rPr>
  </w:style>
  <w:style w:type="paragraph" w:styleId="6">
    <w:name w:val="heading 4"/>
    <w:basedOn w:val="3"/>
    <w:next w:val="1"/>
    <w:link w:val="29"/>
    <w:qFormat/>
    <w:uiPriority w:val="3"/>
    <w:pPr>
      <w:keepNext/>
      <w:keepLines/>
      <w:numPr>
        <w:ilvl w:val="3"/>
        <w:numId w:val="1"/>
      </w:numPr>
      <w:spacing w:before="120" w:after="60"/>
      <w:ind w:left="0" w:firstLine="200"/>
      <w:outlineLvl w:val="3"/>
    </w:pPr>
    <w:rPr>
      <w:b/>
      <w:bCs/>
    </w:rPr>
  </w:style>
  <w:style w:type="paragraph" w:styleId="7">
    <w:name w:val="heading 5"/>
    <w:basedOn w:val="3"/>
    <w:next w:val="3"/>
    <w:link w:val="30"/>
    <w:qFormat/>
    <w:uiPriority w:val="9"/>
    <w:pPr>
      <w:keepNext/>
      <w:keepLines/>
      <w:numPr>
        <w:ilvl w:val="4"/>
        <w:numId w:val="1"/>
      </w:numPr>
      <w:spacing w:before="120" w:after="60"/>
      <w:ind w:firstLine="0" w:firstLineChars="0"/>
      <w:outlineLvl w:val="4"/>
    </w:pPr>
    <w:rPr>
      <w:b/>
      <w:bCs/>
    </w:rPr>
  </w:style>
  <w:style w:type="paragraph" w:styleId="8">
    <w:name w:val="heading 6"/>
    <w:basedOn w:val="1"/>
    <w:next w:val="1"/>
    <w:qFormat/>
    <w:uiPriority w:val="9"/>
    <w:pPr>
      <w:keepNext/>
      <w:keepLines/>
      <w:spacing w:before="240" w:after="64" w:line="317"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3">
    <w:name w:val="星耀正文"/>
    <w:basedOn w:val="1"/>
    <w:link w:val="25"/>
    <w:qFormat/>
    <w:uiPriority w:val="3"/>
    <w:pPr>
      <w:spacing w:line="560" w:lineRule="exact"/>
      <w:ind w:firstLine="200" w:firstLineChars="200"/>
    </w:pPr>
    <w:rPr>
      <w:rFonts w:ascii="Times New Roman" w:hAnsi="Times New Roman" w:eastAsia="仿宋_GB2312"/>
      <w:kern w:val="0"/>
      <w:sz w:val="32"/>
      <w:szCs w:val="28"/>
      <w:lang w:val="zh-CN"/>
    </w:rPr>
  </w:style>
  <w:style w:type="paragraph" w:styleId="9">
    <w:name w:val="caption"/>
    <w:basedOn w:val="1"/>
    <w:next w:val="1"/>
    <w:qFormat/>
    <w:uiPriority w:val="35"/>
    <w:rPr>
      <w:rFonts w:ascii="等线 Light" w:hAnsi="等线 Light" w:eastAsia="黑体"/>
      <w:sz w:val="20"/>
      <w:szCs w:val="20"/>
    </w:rPr>
  </w:style>
  <w:style w:type="paragraph" w:styleId="10">
    <w:name w:val="annotation text"/>
    <w:basedOn w:val="1"/>
    <w:link w:val="31"/>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Balloon Text"/>
    <w:basedOn w:val="1"/>
    <w:link w:val="3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rFonts w:ascii="Calibri" w:hAnsi="Calibri" w:eastAsia="宋体"/>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3"/>
    <w:next w:val="3"/>
    <w:unhideWhenUsed/>
    <w:qFormat/>
    <w:uiPriority w:val="39"/>
    <w:pPr>
      <w:tabs>
        <w:tab w:val="right" w:leader="dot" w:pos="8296"/>
      </w:tabs>
      <w:spacing w:line="460" w:lineRule="exact"/>
      <w:ind w:firstLine="0" w:firstLineChars="0"/>
    </w:pPr>
    <w:rPr>
      <w:b/>
    </w:rPr>
  </w:style>
  <w:style w:type="paragraph" w:styleId="16">
    <w:name w:val="footnote text"/>
    <w:basedOn w:val="1"/>
    <w:link w:val="35"/>
    <w:qFormat/>
    <w:uiPriority w:val="99"/>
    <w:pPr>
      <w:snapToGrid w:val="0"/>
      <w:jc w:val="left"/>
    </w:pPr>
    <w:rPr>
      <w:rFonts w:ascii="Times New Roman" w:hAnsi="Times New Roman" w:eastAsia="仿宋_GB2312"/>
      <w:sz w:val="18"/>
      <w:szCs w:val="18"/>
    </w:rPr>
  </w:style>
  <w:style w:type="paragraph" w:styleId="17">
    <w:name w:val="toc 2"/>
    <w:basedOn w:val="3"/>
    <w:next w:val="3"/>
    <w:unhideWhenUsed/>
    <w:qFormat/>
    <w:uiPriority w:val="39"/>
    <w:pPr>
      <w:tabs>
        <w:tab w:val="right" w:leader="dot" w:pos="8296"/>
      </w:tabs>
      <w:spacing w:line="460" w:lineRule="exact"/>
      <w:ind w:left="200" w:leftChars="200" w:firstLine="0" w:firstLineChars="0"/>
    </w:pPr>
  </w:style>
  <w:style w:type="paragraph" w:styleId="18">
    <w:name w:val="annotation subject"/>
    <w:basedOn w:val="10"/>
    <w:next w:val="10"/>
    <w:link w:val="36"/>
    <w:unhideWhenUsed/>
    <w:qFormat/>
    <w:uiPriority w:val="99"/>
    <w:rPr>
      <w:b/>
      <w:bCs/>
    </w:rPr>
  </w:style>
  <w:style w:type="table" w:styleId="20">
    <w:name w:val="Table Grid"/>
    <w:basedOn w:val="19"/>
    <w:qFormat/>
    <w:uiPriority w:val="9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style>
  <w:style w:type="character" w:styleId="22">
    <w:name w:val="Hyperlink"/>
    <w:unhideWhenUsed/>
    <w:qFormat/>
    <w:uiPriority w:val="99"/>
    <w:rPr>
      <w:color w:val="0563C1"/>
      <w:u w:val="single"/>
    </w:rPr>
  </w:style>
  <w:style w:type="character" w:styleId="23">
    <w:name w:val="annotation reference"/>
    <w:unhideWhenUsed/>
    <w:qFormat/>
    <w:uiPriority w:val="99"/>
    <w:rPr>
      <w:sz w:val="21"/>
      <w:szCs w:val="21"/>
    </w:rPr>
  </w:style>
  <w:style w:type="character" w:styleId="24">
    <w:name w:val="footnote reference"/>
    <w:qFormat/>
    <w:uiPriority w:val="99"/>
    <w:rPr>
      <w:vertAlign w:val="superscript"/>
    </w:rPr>
  </w:style>
  <w:style w:type="character" w:customStyle="1" w:styleId="25">
    <w:name w:val="闻政正文 Char"/>
    <w:link w:val="3"/>
    <w:qFormat/>
    <w:uiPriority w:val="3"/>
    <w:rPr>
      <w:rFonts w:ascii="Times New Roman" w:hAnsi="Times New Roman" w:eastAsia="仿宋_GB2312" w:cs="Times New Roman"/>
      <w:kern w:val="0"/>
      <w:sz w:val="32"/>
      <w:szCs w:val="28"/>
      <w:lang w:val="zh-CN" w:eastAsia="zh-CN"/>
    </w:rPr>
  </w:style>
  <w:style w:type="character" w:customStyle="1" w:styleId="26">
    <w:name w:val="标题 1 字符"/>
    <w:link w:val="2"/>
    <w:qFormat/>
    <w:uiPriority w:val="0"/>
    <w:rPr>
      <w:rFonts w:ascii="Times New Roman" w:hAnsi="Times New Roman" w:eastAsia="黑体" w:cs="Times New Roman"/>
      <w:bCs/>
      <w:kern w:val="44"/>
      <w:sz w:val="32"/>
      <w:szCs w:val="44"/>
      <w:lang w:val="zh-CN" w:eastAsia="zh-CN"/>
    </w:rPr>
  </w:style>
  <w:style w:type="character" w:customStyle="1" w:styleId="27">
    <w:name w:val="标题 2 字符"/>
    <w:link w:val="4"/>
    <w:qFormat/>
    <w:uiPriority w:val="1"/>
    <w:rPr>
      <w:rFonts w:ascii="Times New Roman" w:hAnsi="Times New Roman" w:eastAsia="楷体" w:cs="Times New Roman"/>
      <w:b/>
      <w:bCs/>
      <w:kern w:val="0"/>
      <w:sz w:val="28"/>
      <w:szCs w:val="32"/>
      <w:lang w:val="zh-CN" w:eastAsia="zh-CN"/>
    </w:rPr>
  </w:style>
  <w:style w:type="character" w:customStyle="1" w:styleId="28">
    <w:name w:val="标题 3 字符"/>
    <w:link w:val="5"/>
    <w:qFormat/>
    <w:uiPriority w:val="2"/>
    <w:rPr>
      <w:rFonts w:ascii="Times New Roman" w:hAnsi="Times New Roman" w:eastAsia="仿宋_GB2312" w:cs="Times New Roman"/>
      <w:b/>
      <w:bCs/>
      <w:kern w:val="0"/>
      <w:sz w:val="28"/>
      <w:szCs w:val="32"/>
      <w:lang w:val="zh-CN" w:eastAsia="zh-CN"/>
    </w:rPr>
  </w:style>
  <w:style w:type="character" w:customStyle="1" w:styleId="29">
    <w:name w:val="标题 4 字符"/>
    <w:link w:val="6"/>
    <w:qFormat/>
    <w:uiPriority w:val="3"/>
    <w:rPr>
      <w:rFonts w:ascii="Times New Roman" w:hAnsi="Times New Roman" w:eastAsia="仿宋_GB2312" w:cs="Times New Roman"/>
      <w:b/>
      <w:bCs/>
      <w:kern w:val="0"/>
      <w:sz w:val="28"/>
      <w:szCs w:val="28"/>
      <w:lang w:val="zh-CN" w:eastAsia="zh-CN"/>
    </w:rPr>
  </w:style>
  <w:style w:type="character" w:customStyle="1" w:styleId="30">
    <w:name w:val="标题 5 字符"/>
    <w:link w:val="7"/>
    <w:qFormat/>
    <w:uiPriority w:val="9"/>
    <w:rPr>
      <w:rFonts w:ascii="Times New Roman" w:hAnsi="Times New Roman" w:eastAsia="仿宋_GB2312" w:cs="Times New Roman"/>
      <w:b/>
      <w:bCs/>
      <w:kern w:val="0"/>
      <w:sz w:val="28"/>
      <w:szCs w:val="28"/>
      <w:lang w:val="zh-CN" w:eastAsia="zh-CN"/>
    </w:rPr>
  </w:style>
  <w:style w:type="character" w:customStyle="1" w:styleId="31">
    <w:name w:val="批注文字 字符"/>
    <w:link w:val="10"/>
    <w:qFormat/>
    <w:uiPriority w:val="99"/>
  </w:style>
  <w:style w:type="character" w:customStyle="1" w:styleId="32">
    <w:name w:val="批注框文本 字符"/>
    <w:link w:val="12"/>
    <w:semiHidden/>
    <w:qFormat/>
    <w:uiPriority w:val="99"/>
    <w:rPr>
      <w:sz w:val="18"/>
      <w:szCs w:val="18"/>
    </w:rPr>
  </w:style>
  <w:style w:type="character" w:customStyle="1" w:styleId="33">
    <w:name w:val="页脚 字符"/>
    <w:link w:val="13"/>
    <w:qFormat/>
    <w:uiPriority w:val="99"/>
    <w:rPr>
      <w:rFonts w:ascii="Calibri" w:hAnsi="Calibri" w:eastAsia="宋体" w:cs="Times New Roman"/>
      <w:sz w:val="18"/>
      <w:szCs w:val="18"/>
    </w:rPr>
  </w:style>
  <w:style w:type="character" w:customStyle="1" w:styleId="34">
    <w:name w:val="页眉 字符"/>
    <w:link w:val="14"/>
    <w:qFormat/>
    <w:uiPriority w:val="99"/>
    <w:rPr>
      <w:sz w:val="18"/>
      <w:szCs w:val="18"/>
    </w:rPr>
  </w:style>
  <w:style w:type="character" w:customStyle="1" w:styleId="35">
    <w:name w:val="脚注文本 字符"/>
    <w:link w:val="16"/>
    <w:qFormat/>
    <w:uiPriority w:val="99"/>
    <w:rPr>
      <w:rFonts w:ascii="Times New Roman" w:hAnsi="Times New Roman" w:eastAsia="仿宋_GB2312"/>
      <w:sz w:val="18"/>
      <w:szCs w:val="18"/>
    </w:rPr>
  </w:style>
  <w:style w:type="character" w:customStyle="1" w:styleId="36">
    <w:name w:val="批注主题 字符"/>
    <w:link w:val="18"/>
    <w:semiHidden/>
    <w:qFormat/>
    <w:uiPriority w:val="99"/>
    <w:rPr>
      <w:b/>
      <w:bCs/>
    </w:rPr>
  </w:style>
  <w:style w:type="character" w:customStyle="1" w:styleId="37">
    <w:name w:val="闻政图表名 字符"/>
    <w:link w:val="38"/>
    <w:qFormat/>
    <w:uiPriority w:val="4"/>
    <w:rPr>
      <w:rFonts w:ascii="Times New Roman" w:hAnsi="Times New Roman" w:eastAsia="仿宋_GB2312" w:cs="Times New Roman"/>
      <w:b/>
      <w:kern w:val="0"/>
      <w:sz w:val="24"/>
      <w:szCs w:val="28"/>
    </w:rPr>
  </w:style>
  <w:style w:type="paragraph" w:customStyle="1" w:styleId="38">
    <w:name w:val="星耀图表名"/>
    <w:basedOn w:val="1"/>
    <w:link w:val="37"/>
    <w:qFormat/>
    <w:uiPriority w:val="4"/>
    <w:pPr>
      <w:spacing w:before="60" w:after="60"/>
      <w:jc w:val="center"/>
    </w:pPr>
    <w:rPr>
      <w:rFonts w:ascii="Times New Roman" w:hAnsi="Times New Roman" w:eastAsia="仿宋_GB2312"/>
      <w:b/>
      <w:kern w:val="0"/>
      <w:sz w:val="24"/>
      <w:szCs w:val="28"/>
    </w:rPr>
  </w:style>
  <w:style w:type="character" w:customStyle="1" w:styleId="39">
    <w:name w:val="闻政图（表）注 Char"/>
    <w:link w:val="40"/>
    <w:qFormat/>
    <w:uiPriority w:val="5"/>
    <w:rPr>
      <w:rFonts w:ascii="Times New Roman" w:hAnsi="Times New Roman" w:eastAsia="仿宋_GB2312" w:cs="Arial"/>
      <w:kern w:val="0"/>
    </w:rPr>
  </w:style>
  <w:style w:type="paragraph" w:customStyle="1" w:styleId="40">
    <w:name w:val="星耀图（表）注"/>
    <w:basedOn w:val="1"/>
    <w:link w:val="39"/>
    <w:qFormat/>
    <w:uiPriority w:val="5"/>
    <w:pPr>
      <w:spacing w:before="120"/>
    </w:pPr>
    <w:rPr>
      <w:rFonts w:ascii="Times New Roman" w:hAnsi="Times New Roman" w:eastAsia="仿宋_GB2312" w:cs="Arial"/>
      <w:kern w:val="0"/>
    </w:rPr>
  </w:style>
  <w:style w:type="character" w:customStyle="1" w:styleId="41">
    <w:name w:val="闻政表文字 字符"/>
    <w:link w:val="42"/>
    <w:qFormat/>
    <w:uiPriority w:val="5"/>
    <w:rPr>
      <w:rFonts w:ascii="Times New Roman" w:hAnsi="Times New Roman" w:eastAsia="仿宋_GB2312" w:cs="宋体"/>
      <w:bCs/>
      <w:color w:val="000000"/>
      <w:kern w:val="0"/>
      <w:sz w:val="22"/>
      <w:szCs w:val="22"/>
      <w:lang w:val="zh-CN" w:eastAsia="zh-CN"/>
    </w:rPr>
  </w:style>
  <w:style w:type="paragraph" w:customStyle="1" w:styleId="42">
    <w:name w:val="星耀表文字"/>
    <w:basedOn w:val="3"/>
    <w:link w:val="41"/>
    <w:qFormat/>
    <w:uiPriority w:val="5"/>
    <w:pPr>
      <w:widowControl/>
      <w:spacing w:line="320" w:lineRule="exact"/>
      <w:ind w:firstLine="0" w:firstLineChars="0"/>
      <w:jc w:val="center"/>
    </w:pPr>
    <w:rPr>
      <w:rFonts w:cs="宋体"/>
      <w:bCs/>
      <w:color w:val="000000"/>
      <w:sz w:val="22"/>
      <w:szCs w:val="22"/>
    </w:rPr>
  </w:style>
  <w:style w:type="paragraph" w:customStyle="1" w:styleId="43">
    <w:name w:val="星耀附件三级标题"/>
    <w:basedOn w:val="44"/>
    <w:qFormat/>
    <w:uiPriority w:val="8"/>
    <w:rPr>
      <w:rFonts w:ascii="Times New Roman" w:hAnsi="Times New Roman" w:eastAsia="仿宋_GB2312"/>
    </w:rPr>
  </w:style>
  <w:style w:type="paragraph" w:customStyle="1" w:styleId="44">
    <w:name w:val="星耀附件二级标题"/>
    <w:basedOn w:val="45"/>
    <w:qFormat/>
    <w:uiPriority w:val="8"/>
    <w:rPr>
      <w:rFonts w:ascii="宋体" w:hAnsi="宋体" w:eastAsia="宋体"/>
    </w:rPr>
  </w:style>
  <w:style w:type="paragraph" w:customStyle="1" w:styleId="45">
    <w:name w:val="星耀附件一级标题"/>
    <w:basedOn w:val="46"/>
    <w:next w:val="47"/>
    <w:qFormat/>
    <w:uiPriority w:val="6"/>
    <w:pPr>
      <w:ind w:firstLine="200" w:firstLineChars="200"/>
      <w:jc w:val="left"/>
    </w:pPr>
    <w:rPr>
      <w:rFonts w:cs="宋体"/>
      <w:sz w:val="28"/>
    </w:rPr>
  </w:style>
  <w:style w:type="paragraph" w:customStyle="1" w:styleId="46">
    <w:name w:val="星耀附件报告名"/>
    <w:basedOn w:val="3"/>
    <w:qFormat/>
    <w:uiPriority w:val="9"/>
    <w:pPr>
      <w:spacing w:before="120" w:after="60"/>
      <w:ind w:firstLine="0" w:firstLineChars="0"/>
      <w:jc w:val="center"/>
    </w:pPr>
    <w:rPr>
      <w:b/>
    </w:rPr>
  </w:style>
  <w:style w:type="paragraph" w:customStyle="1" w:styleId="47">
    <w:name w:val="星耀附件正文"/>
    <w:basedOn w:val="3"/>
    <w:qFormat/>
    <w:uiPriority w:val="6"/>
    <w:rPr>
      <w:sz w:val="28"/>
    </w:rPr>
  </w:style>
  <w:style w:type="paragraph" w:customStyle="1" w:styleId="48">
    <w:name w:val="星耀附件四级标题"/>
    <w:basedOn w:val="43"/>
    <w:qFormat/>
    <w:uiPriority w:val="9"/>
    <w:pPr>
      <w:spacing w:before="0" w:after="0"/>
    </w:pPr>
  </w:style>
  <w:style w:type="paragraph" w:customStyle="1" w:styleId="49">
    <w:name w:val="星耀脚注"/>
    <w:basedOn w:val="3"/>
    <w:qFormat/>
    <w:uiPriority w:val="9"/>
    <w:pPr>
      <w:spacing w:line="400" w:lineRule="exact"/>
      <w:ind w:firstLine="0" w:firstLineChars="0"/>
    </w:pPr>
    <w:rPr>
      <w:sz w:val="18"/>
    </w:rPr>
  </w:style>
  <w:style w:type="paragraph" w:customStyle="1" w:styleId="50">
    <w:name w:val="星耀封面项目信息"/>
    <w:basedOn w:val="1"/>
    <w:qFormat/>
    <w:uiPriority w:val="0"/>
    <w:pPr>
      <w:spacing w:before="120"/>
      <w:ind w:left="800" w:leftChars="800"/>
      <w:jc w:val="left"/>
    </w:pPr>
    <w:rPr>
      <w:rFonts w:ascii="Times New Roman" w:hAnsi="Times New Roman" w:eastAsia="仿宋_GB2312"/>
      <w:kern w:val="0"/>
      <w:sz w:val="32"/>
      <w:szCs w:val="28"/>
      <w:lang w:val="zh-CN"/>
    </w:rPr>
  </w:style>
  <w:style w:type="paragraph" w:customStyle="1" w:styleId="51">
    <w:name w:val="星耀封面标题"/>
    <w:basedOn w:val="1"/>
    <w:next w:val="50"/>
    <w:qFormat/>
    <w:uiPriority w:val="0"/>
    <w:pPr>
      <w:jc w:val="center"/>
    </w:pPr>
    <w:rPr>
      <w:rFonts w:ascii="Times New Roman" w:hAnsi="Times New Roman" w:eastAsia="黑体"/>
      <w:snapToGrid w:val="0"/>
      <w:sz w:val="48"/>
      <w:szCs w:val="24"/>
    </w:rPr>
  </w:style>
  <w:style w:type="paragraph" w:customStyle="1" w:styleId="52">
    <w:name w:val="TOC 标题1"/>
    <w:basedOn w:val="2"/>
    <w:next w:val="1"/>
    <w:unhideWhenUsed/>
    <w:qFormat/>
    <w:uiPriority w:val="39"/>
    <w:pPr>
      <w:widowControl/>
      <w:numPr>
        <w:numId w:val="0"/>
      </w:numPr>
      <w:spacing w:before="240" w:after="0" w:line="259" w:lineRule="auto"/>
      <w:outlineLvl w:val="9"/>
    </w:pPr>
    <w:rPr>
      <w:rFonts w:ascii="等线 Light" w:hAnsi="等线 Light" w:eastAsia="等线 Light"/>
      <w:b/>
      <w:bCs w:val="0"/>
      <w:color w:val="2F5496"/>
      <w:kern w:val="0"/>
      <w:szCs w:val="32"/>
    </w:rPr>
  </w:style>
  <w:style w:type="paragraph" w:customStyle="1" w:styleId="53">
    <w:name w:val="星耀评价小组人员名单"/>
    <w:basedOn w:val="1"/>
    <w:qFormat/>
    <w:uiPriority w:val="0"/>
    <w:pPr>
      <w:jc w:val="left"/>
    </w:pPr>
    <w:rPr>
      <w:rFonts w:eastAsia="仿宋_GB2312"/>
      <w:sz w:val="32"/>
    </w:rPr>
  </w:style>
  <w:style w:type="paragraph" w:customStyle="1" w:styleId="54">
    <w:name w:val="星耀备注类"/>
    <w:basedOn w:val="3"/>
    <w:qFormat/>
    <w:uiPriority w:val="5"/>
    <w:pPr>
      <w:spacing w:line="240" w:lineRule="auto"/>
      <w:jc w:val="left"/>
    </w:pPr>
    <w:rPr>
      <w:rFonts w:cs="宋体"/>
      <w:sz w:val="21"/>
    </w:rPr>
  </w:style>
  <w:style w:type="paragraph" w:customStyle="1" w:styleId="55">
    <w:name w:val="星耀附件标题"/>
    <w:basedOn w:val="3"/>
    <w:qFormat/>
    <w:uiPriority w:val="6"/>
    <w:pPr>
      <w:numPr>
        <w:ilvl w:val="5"/>
        <w:numId w:val="1"/>
      </w:numPr>
      <w:spacing w:before="120" w:after="60" w:line="240" w:lineRule="auto"/>
      <w:ind w:firstLineChars="0"/>
      <w:outlineLvl w:val="0"/>
    </w:pPr>
    <w:rPr>
      <w:rFonts w:eastAsia="黑体"/>
      <w:b/>
    </w:rPr>
  </w:style>
  <w:style w:type="paragraph" w:customStyle="1" w:styleId="56">
    <w:name w:val="星耀目录标题"/>
    <w:basedOn w:val="51"/>
    <w:qFormat/>
    <w:uiPriority w:val="1"/>
  </w:style>
  <w:style w:type="table" w:customStyle="1" w:styleId="57">
    <w:name w:val="无格式表格 11"/>
    <w:basedOn w:val="19"/>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58">
    <w:name w:val="网格型浅色1"/>
    <w:basedOn w:val="19"/>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iaoting/C:\Users\wjd\Desktop\word-&#26684;&#24335;&#27169;&#29256;2022.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word-格式模版2022.4.22</Template>
  <Pages>6</Pages>
  <Words>503</Words>
  <Characters>2873</Characters>
  <Lines>23</Lines>
  <Paragraphs>6</Paragraphs>
  <TotalTime>65</TotalTime>
  <ScaleCrop>false</ScaleCrop>
  <LinksUpToDate>false</LinksUpToDate>
  <CharactersWithSpaces>3370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2022-10-26T09:13:00Z</dcterms:created>
  <dc:creator>wjd</dc:creator>
  <cp:lastModifiedBy>xiaoting</cp:lastModifiedBy>
  <dcterms:modified xsi:type="dcterms:W3CDTF">2022-10-27T10:06:07Z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8F275B782EDB4A7A8CEB80F0073BF940</vt:lpwstr>
  </property>
</Properties>
</file>