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jc w:val="center"/>
        <w:rPr>
          <w:rFonts w:hint="eastAsia" w:ascii="仿宋_GB2312" w:hAnsi="宋体" w:eastAsia="仿宋_GB2312"/>
        </w:rPr>
      </w:pPr>
      <w:r>
        <w:rPr>
          <w:rFonts w:hint="eastAsia" w:ascii="仿宋_GB2312" w:hAnsi="宋体" w:eastAsia="仿宋_GB2312"/>
          <w:lang w:val="en-US" w:eastAsia="zh-CN"/>
        </w:rPr>
        <w:t>一、</w:t>
      </w:r>
      <w:r>
        <w:rPr>
          <w:rFonts w:hint="eastAsia" w:ascii="仿宋_GB2312" w:hAnsi="宋体" w:eastAsia="仿宋_GB2312"/>
        </w:rPr>
        <w:t>评标办法</w:t>
      </w:r>
    </w:p>
    <w:p>
      <w:pPr>
        <w:keepNext w:val="0"/>
        <w:keepLines w:val="0"/>
        <w:widowControl w:val="0"/>
        <w:suppressLineNumbers w:val="0"/>
        <w:spacing w:before="0" w:beforeAutospacing="0" w:after="0" w:afterAutospacing="0" w:line="560" w:lineRule="exact"/>
        <w:ind w:right="0" w:firstLine="3253" w:firstLineChars="900"/>
        <w:jc w:val="left"/>
        <w:rPr>
          <w:rFonts w:hint="eastAsia" w:ascii="仿宋_GB2312" w:hAnsi="宋体" w:eastAsia="仿宋_GB2312" w:cs="仿宋_GB2312"/>
          <w:b/>
          <w:bCs w:val="0"/>
          <w:kern w:val="0"/>
          <w:sz w:val="36"/>
          <w:szCs w:val="36"/>
        </w:rPr>
      </w:pPr>
    </w:p>
    <w:p>
      <w:pPr>
        <w:pStyle w:val="3"/>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宋体" w:eastAsia="仿宋_GB2312" w:cs="Times New Roman"/>
          <w:b/>
          <w:bCs w:val="0"/>
          <w:kern w:val="0"/>
          <w:sz w:val="32"/>
          <w:szCs w:val="32"/>
        </w:rPr>
      </w:pPr>
      <w:r>
        <w:rPr>
          <w:rFonts w:hint="eastAsia" w:ascii="仿宋_GB2312" w:hAnsi="宋体" w:eastAsia="仿宋_GB2312" w:cs="仿宋_GB2312"/>
          <w:b/>
          <w:bCs w:val="0"/>
          <w:kern w:val="0"/>
          <w:sz w:val="32"/>
          <w:szCs w:val="32"/>
          <w:lang w:val="en-US" w:eastAsia="zh-CN" w:bidi="ar"/>
        </w:rPr>
        <w:t>一、评标原则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（一）评标依据：评审小组将以采购公告、供应商的响应文件作为评标依据，对竞标供应商的报价、技术、商务等方面内容按百分制打分。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b/>
          <w:bCs w:val="0"/>
          <w:kern w:val="2"/>
          <w:sz w:val="32"/>
          <w:szCs w:val="32"/>
        </w:rPr>
      </w:pPr>
      <w:r>
        <w:rPr>
          <w:rFonts w:hint="eastAsia" w:ascii="仿宋_GB2312" w:hAnsi="Times New Roman" w:eastAsia="仿宋_GB2312" w:cs="仿宋_GB2312"/>
          <w:kern w:val="2"/>
          <w:sz w:val="32"/>
          <w:szCs w:val="32"/>
          <w:lang w:val="en-US" w:eastAsia="zh-CN" w:bidi="ar"/>
        </w:rPr>
        <w:t>（二）评标方式：以封闭方式进行。</w:t>
      </w:r>
    </w:p>
    <w:p>
      <w:pPr>
        <w:pStyle w:val="3"/>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宋体" w:eastAsia="仿宋_GB2312" w:cs="Times New Roman"/>
          <w:b/>
          <w:bCs w:val="0"/>
          <w:kern w:val="0"/>
          <w:sz w:val="32"/>
          <w:szCs w:val="32"/>
        </w:rPr>
      </w:pPr>
      <w:r>
        <w:rPr>
          <w:rFonts w:hint="eastAsia" w:ascii="仿宋_GB2312" w:hAnsi="宋体" w:eastAsia="仿宋_GB2312" w:cs="仿宋_GB2312"/>
          <w:b/>
          <w:bCs w:val="0"/>
          <w:kern w:val="0"/>
          <w:sz w:val="32"/>
          <w:szCs w:val="32"/>
          <w:lang w:val="en-US" w:eastAsia="zh-CN" w:bidi="ar"/>
        </w:rPr>
        <w:t>二、评定方法（按四舍五入取至百分位）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综合评分法，是指采购文件满足采购文件全部实质性要求，且按照评审因素的量化指标评审得分最高的投标人为中标供应商的评标方法，最低报价不作为成交保证。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85"/>
        <w:gridCol w:w="1507"/>
        <w:gridCol w:w="960"/>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86" w:hRule="atLeast"/>
          <w:jc w:val="center"/>
        </w:trPr>
        <w:tc>
          <w:tcPr>
            <w:tcW w:w="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序号</w:t>
            </w:r>
          </w:p>
        </w:tc>
        <w:tc>
          <w:tcPr>
            <w:tcW w:w="15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评分因素</w:t>
            </w:r>
          </w:p>
        </w:tc>
        <w:tc>
          <w:tcPr>
            <w:tcW w:w="9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分值</w:t>
            </w:r>
          </w:p>
        </w:tc>
        <w:tc>
          <w:tcPr>
            <w:tcW w:w="53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一</w:t>
            </w:r>
          </w:p>
        </w:tc>
        <w:tc>
          <w:tcPr>
            <w:tcW w:w="15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投标报价</w:t>
            </w:r>
          </w:p>
        </w:tc>
        <w:tc>
          <w:tcPr>
            <w:tcW w:w="9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20</w:t>
            </w:r>
          </w:p>
        </w:tc>
        <w:tc>
          <w:tcPr>
            <w:tcW w:w="53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投标报价价格分=（评标基准价/投标报价）×20。</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评标基准价为所有有效供应商最低报价。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二</w:t>
            </w:r>
          </w:p>
        </w:tc>
        <w:tc>
          <w:tcPr>
            <w:tcW w:w="15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技术部分</w:t>
            </w:r>
          </w:p>
        </w:tc>
        <w:tc>
          <w:tcPr>
            <w:tcW w:w="9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40</w:t>
            </w:r>
          </w:p>
        </w:tc>
        <w:tc>
          <w:tcPr>
            <w:tcW w:w="53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1．考察网站运维实施方案，实施方案考察点主要包括项目的网站系统维护服务工作、网站系统相关功能模块开发服务工作的实施内容、实施计划、</w:t>
            </w:r>
            <w:bookmarkStart w:id="0" w:name="_GoBack"/>
            <w:bookmarkEnd w:id="0"/>
            <w:r>
              <w:rPr>
                <w:rFonts w:hint="eastAsia" w:ascii="仿宋_GB2312" w:hAnsi="Times New Roman" w:eastAsia="仿宋_GB2312" w:cs="仿宋_GB2312"/>
                <w:kern w:val="2"/>
                <w:sz w:val="24"/>
                <w:szCs w:val="24"/>
                <w:bdr w:val="none" w:color="auto" w:sz="0" w:space="0"/>
                <w:lang w:val="en-US" w:eastAsia="zh-CN" w:bidi="ar"/>
              </w:rPr>
              <w:t>实施阶段等三个方面，具有针对性、科学性、合理性及适用性。 (评价为优的10分，评价为中的6分，评价为差的3分)；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优评分标准：内容合理性强</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中评分标准：内容合理性一般</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差评分标准：内容合理性较差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考察项目的网站系统相关创新应用开发以及网站绩效考核的重点难点分析、应对措施及相关合理化建议。详细阐述本项目存在的重难点问题；根据项目重难点，详细阐述对应的应对措施。(评价为优的10分，评价为中的6分，评价为差的3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优评分标准：内容合理性强</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中评分标准：内容合理性一般</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差评分标准：内容合理性较差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质量（完成时间、人员、运维）保障措施及方案。对网站运维和网站系统相关功能模块开发给出分阶段项目时间安排、工作进度与阶段性成果；详细阐述项目时间管理制度与措施，比如严格的响应时间、对系统重大故障响应要求，系统一般故障排除的技术指导与咨询响应要求等。(评价为优的10分，评价为中的6分，评价为差的3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优评分标准：内容合理性强</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中评分标准：内容合理性一般</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差评分标准：内容合理性较差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项目完成（服务期满）后的服务承诺，包括服务内容、服务制度、响应时间、服务人信息与联系方式等。(评价为优的5分，评价为中的3分，评价为差的1分)；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优评分标准：内容合理性强</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中评分标准：内容合理性一般</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差评分标准：内容合理性较差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有无具体的违约承诺，承诺满足招标文件要求，保证措施合理且有针对性。(评价为优的5分，评价为中的3分，评价为差的1分)。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优评分标准：内容合理性强</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中评分标准：内容合理性一般</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差评分标准：内容合理性较差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三</w:t>
            </w:r>
          </w:p>
        </w:tc>
        <w:tc>
          <w:tcPr>
            <w:tcW w:w="15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商务部分</w:t>
            </w:r>
          </w:p>
        </w:tc>
        <w:tc>
          <w:tcPr>
            <w:tcW w:w="9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40</w:t>
            </w:r>
          </w:p>
        </w:tc>
        <w:tc>
          <w:tcPr>
            <w:tcW w:w="53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一、 投标人通过相关认证情况（8分）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（一）评分内容：</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1.具有CMMI5（软件能力成熟度模型集成）证书，得2分，5级以下证书得1分；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color w:val="auto"/>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2.具</w:t>
            </w:r>
            <w:r>
              <w:rPr>
                <w:rFonts w:hint="eastAsia" w:ascii="仿宋_GB2312" w:hAnsi="Times New Roman" w:eastAsia="仿宋_GB2312" w:cs="仿宋_GB2312"/>
                <w:color w:val="auto"/>
                <w:kern w:val="2"/>
                <w:sz w:val="24"/>
                <w:szCs w:val="24"/>
                <w:bdr w:val="none" w:color="auto" w:sz="0" w:space="0"/>
                <w:lang w:val="en-US" w:eastAsia="zh-CN" w:bidi="ar"/>
              </w:rPr>
              <w:t>有</w:t>
            </w:r>
            <w:r>
              <w:rPr>
                <w:rFonts w:hint="eastAsia" w:ascii="仿宋_GB2312" w:hAnsi="Times New Roman" w:eastAsia="仿宋_GB2312" w:cs="仿宋_GB2312"/>
                <w:color w:val="auto"/>
                <w:kern w:val="2"/>
                <w:sz w:val="24"/>
                <w:szCs w:val="24"/>
                <w:bdr w:val="none" w:color="auto" w:sz="0" w:space="0"/>
                <w:lang w:val="en-US" w:eastAsia="zh-CN" w:bidi="ar"/>
              </w:rPr>
              <w:fldChar w:fldCharType="begin"/>
            </w:r>
            <w:r>
              <w:rPr>
                <w:rFonts w:hint="eastAsia" w:ascii="仿宋_GB2312" w:hAnsi="Times New Roman" w:eastAsia="仿宋_GB2312" w:cs="仿宋_GB2312"/>
                <w:color w:val="auto"/>
                <w:kern w:val="2"/>
                <w:sz w:val="24"/>
                <w:szCs w:val="24"/>
                <w:bdr w:val="none" w:color="auto" w:sz="0" w:space="0"/>
                <w:lang w:val="en-US" w:eastAsia="zh-CN" w:bidi="ar"/>
              </w:rPr>
              <w:instrText xml:space="preserve"> HYPERLINK "http://intranet.trs.com.cn/ekp/new/km/knowledge/show.jsp?DocId=311324&amp;IsAdmin=0&amp;SiteId=8" \o "CCRC信息安全服务资质认证三级证书-信息系统安全集成、软件安全开发及信息系统安全运维（2019.11.19-2020.11.18）" </w:instrText>
            </w:r>
            <w:r>
              <w:rPr>
                <w:rFonts w:hint="eastAsia" w:ascii="仿宋_GB2312" w:hAnsi="Times New Roman" w:eastAsia="仿宋_GB2312" w:cs="仿宋_GB2312"/>
                <w:color w:val="auto"/>
                <w:kern w:val="2"/>
                <w:sz w:val="24"/>
                <w:szCs w:val="24"/>
                <w:bdr w:val="none" w:color="auto" w:sz="0" w:space="0"/>
                <w:lang w:val="en-US" w:eastAsia="zh-CN" w:bidi="ar"/>
              </w:rPr>
              <w:fldChar w:fldCharType="separate"/>
            </w:r>
            <w:r>
              <w:rPr>
                <w:rStyle w:val="6"/>
                <w:rFonts w:hint="eastAsia" w:ascii="仿宋_GB2312" w:eastAsia="仿宋_GB2312" w:cs="仿宋_GB2312"/>
                <w:color w:val="auto"/>
                <w:kern w:val="2"/>
                <w:sz w:val="24"/>
                <w:szCs w:val="24"/>
                <w:bdr w:val="none" w:color="auto" w:sz="0" w:space="0"/>
              </w:rPr>
              <w:t>具有数据管理能力成熟度认证资质</w:t>
            </w:r>
            <w:r>
              <w:rPr>
                <w:rFonts w:hint="eastAsia" w:ascii="仿宋_GB2312" w:hAnsi="Times New Roman" w:eastAsia="仿宋_GB2312" w:cs="仿宋_GB2312"/>
                <w:color w:val="auto"/>
                <w:kern w:val="2"/>
                <w:sz w:val="24"/>
                <w:szCs w:val="24"/>
                <w:bdr w:val="none" w:color="auto" w:sz="0" w:space="0"/>
                <w:lang w:val="en-US" w:eastAsia="zh-CN" w:bidi="ar"/>
              </w:rPr>
              <w:fldChar w:fldCharType="end"/>
            </w:r>
            <w:r>
              <w:rPr>
                <w:rFonts w:hint="eastAsia" w:ascii="仿宋_GB2312" w:hAnsi="Times New Roman" w:eastAsia="仿宋_GB2312" w:cs="仿宋_GB2312"/>
                <w:color w:val="auto"/>
                <w:kern w:val="2"/>
                <w:sz w:val="24"/>
                <w:szCs w:val="24"/>
                <w:bdr w:val="none" w:color="auto" w:sz="0" w:space="0"/>
                <w:lang w:val="en-US" w:eastAsia="zh-CN" w:bidi="ar"/>
              </w:rPr>
              <w:t>，得2分；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color w:val="auto"/>
                <w:kern w:val="2"/>
                <w:sz w:val="24"/>
                <w:szCs w:val="24"/>
                <w:bdr w:val="none" w:color="auto" w:sz="0" w:space="0"/>
                <w:lang w:val="en-US" w:eastAsia="zh-CN" w:bidi="ar"/>
              </w:rPr>
              <w:t>3.具有</w:t>
            </w:r>
            <w:r>
              <w:rPr>
                <w:rFonts w:hint="eastAsia" w:ascii="仿宋_GB2312" w:hAnsi="Times New Roman" w:eastAsia="仿宋_GB2312" w:cs="仿宋_GB2312"/>
                <w:color w:val="auto"/>
                <w:kern w:val="2"/>
                <w:sz w:val="24"/>
                <w:szCs w:val="24"/>
                <w:bdr w:val="none" w:color="auto" w:sz="0" w:space="0"/>
                <w:lang w:val="en-US" w:eastAsia="zh-CN" w:bidi="ar"/>
              </w:rPr>
              <w:fldChar w:fldCharType="begin"/>
            </w:r>
            <w:r>
              <w:rPr>
                <w:rFonts w:hint="eastAsia" w:ascii="仿宋_GB2312" w:hAnsi="Times New Roman" w:eastAsia="仿宋_GB2312" w:cs="仿宋_GB2312"/>
                <w:color w:val="auto"/>
                <w:kern w:val="2"/>
                <w:sz w:val="24"/>
                <w:szCs w:val="24"/>
                <w:bdr w:val="none" w:color="auto" w:sz="0" w:space="0"/>
                <w:lang w:val="en-US" w:eastAsia="zh-CN" w:bidi="ar"/>
              </w:rPr>
              <w:instrText xml:space="preserve"> HYPERLINK "http://intranet.trs.com.cn/ekp/new/km/knowledge/show.jsp?DocId=320660&amp;IsAdmin=0&amp;SiteId=8" \o "CIC信息化建设及数字化能力评价证书一级-有效期至2026.6.10" </w:instrText>
            </w:r>
            <w:r>
              <w:rPr>
                <w:rFonts w:hint="eastAsia" w:ascii="仿宋_GB2312" w:hAnsi="Times New Roman" w:eastAsia="仿宋_GB2312" w:cs="仿宋_GB2312"/>
                <w:color w:val="auto"/>
                <w:kern w:val="2"/>
                <w:sz w:val="24"/>
                <w:szCs w:val="24"/>
                <w:bdr w:val="none" w:color="auto" w:sz="0" w:space="0"/>
                <w:lang w:val="en-US" w:eastAsia="zh-CN" w:bidi="ar"/>
              </w:rPr>
              <w:fldChar w:fldCharType="separate"/>
            </w:r>
            <w:r>
              <w:rPr>
                <w:rStyle w:val="6"/>
                <w:rFonts w:hint="eastAsia" w:ascii="仿宋_GB2312" w:eastAsia="仿宋_GB2312" w:cs="仿宋_GB2312"/>
                <w:color w:val="auto"/>
                <w:kern w:val="2"/>
                <w:sz w:val="24"/>
                <w:szCs w:val="24"/>
                <w:bdr w:val="none" w:color="auto" w:sz="0" w:space="0"/>
              </w:rPr>
              <w:t>CIC信息化建设及数字化能力评价</w:t>
            </w:r>
            <w:r>
              <w:rPr>
                <w:rFonts w:hint="eastAsia" w:ascii="仿宋_GB2312" w:hAnsi="Times New Roman" w:eastAsia="仿宋_GB2312" w:cs="仿宋_GB2312"/>
                <w:color w:val="auto"/>
                <w:kern w:val="2"/>
                <w:sz w:val="24"/>
                <w:szCs w:val="24"/>
                <w:bdr w:val="none" w:color="auto" w:sz="0" w:space="0"/>
                <w:lang w:val="en-US" w:eastAsia="zh-CN" w:bidi="ar"/>
              </w:rPr>
              <w:fldChar w:fldCharType="end"/>
            </w:r>
            <w:r>
              <w:rPr>
                <w:rFonts w:hint="eastAsia" w:ascii="仿宋_GB2312" w:hAnsi="Times New Roman" w:eastAsia="仿宋_GB2312" w:cs="仿宋_GB2312"/>
                <w:color w:val="auto"/>
                <w:kern w:val="2"/>
                <w:sz w:val="24"/>
                <w:szCs w:val="24"/>
                <w:bdr w:val="none" w:color="auto" w:sz="0" w:space="0"/>
                <w:lang w:val="en-US" w:eastAsia="zh-CN" w:bidi="ar"/>
              </w:rPr>
              <w:t>认</w:t>
            </w:r>
            <w:r>
              <w:rPr>
                <w:rFonts w:hint="eastAsia" w:ascii="仿宋_GB2312" w:hAnsi="Times New Roman" w:eastAsia="仿宋_GB2312" w:cs="仿宋_GB2312"/>
                <w:kern w:val="2"/>
                <w:sz w:val="24"/>
                <w:szCs w:val="24"/>
                <w:bdr w:val="none" w:color="auto" w:sz="0" w:space="0"/>
                <w:lang w:val="en-US" w:eastAsia="zh-CN" w:bidi="ar"/>
              </w:rPr>
              <w:t>证，得2分；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4.</w:t>
            </w:r>
            <w:r>
              <w:rPr>
                <w:rFonts w:hint="eastAsia" w:ascii="仿宋_GB2312" w:hAnsi="Times New Roman" w:eastAsia="仿宋_GB2312" w:cs="仿宋_GB2312"/>
                <w:kern w:val="2"/>
                <w:sz w:val="32"/>
                <w:szCs w:val="32"/>
                <w:bdr w:val="none" w:color="auto" w:sz="0" w:space="0"/>
                <w:lang w:val="en-US" w:eastAsia="zh-CN" w:bidi="ar"/>
              </w:rPr>
              <w:t xml:space="preserve"> </w:t>
            </w:r>
            <w:r>
              <w:rPr>
                <w:rFonts w:hint="eastAsia" w:ascii="仿宋_GB2312" w:hAnsi="Times New Roman" w:eastAsia="仿宋_GB2312" w:cs="仿宋_GB2312"/>
                <w:kern w:val="2"/>
                <w:sz w:val="24"/>
                <w:szCs w:val="24"/>
                <w:bdr w:val="none" w:color="auto" w:sz="0" w:space="0"/>
                <w:lang w:val="en-US" w:eastAsia="zh-CN" w:bidi="ar"/>
              </w:rPr>
              <w:t>具有CCID信息系统服务交付能力证书，得2分。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（二）评分依据：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1.要求提供有效的认证证书作为得分依据。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hAnsi="Times New Roman" w:eastAsia="仿宋_GB2312" w:cs="仿宋_GB2312"/>
                <w:kern w:val="2"/>
                <w:sz w:val="24"/>
                <w:szCs w:val="24"/>
                <w:bdr w:val="none" w:color="auto" w:sz="0" w:space="0"/>
                <w:lang w:val="en-US" w:eastAsia="zh-CN" w:bidi="ar"/>
              </w:rPr>
            </w:pPr>
            <w:r>
              <w:rPr>
                <w:rFonts w:hint="eastAsia" w:ascii="仿宋_GB2312" w:hAnsi="Times New Roman" w:eastAsia="仿宋_GB2312" w:cs="仿宋_GB2312"/>
                <w:kern w:val="2"/>
                <w:sz w:val="24"/>
                <w:szCs w:val="24"/>
                <w:bdr w:val="none" w:color="auto" w:sz="0" w:space="0"/>
                <w:lang w:val="en-US" w:eastAsia="zh-CN" w:bidi="ar"/>
              </w:rPr>
              <w:t>2.以上资料均要求提供扫描件，原件备查。</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hAnsi="Times New Roman" w:eastAsia="仿宋_GB2312" w:cs="仿宋_GB2312"/>
                <w:kern w:val="2"/>
                <w:sz w:val="24"/>
                <w:szCs w:val="24"/>
                <w:bdr w:val="none" w:color="auto" w:sz="0" w:space="0"/>
                <w:lang w:val="en-US" w:eastAsia="zh-CN" w:bidi="ar"/>
              </w:rPr>
            </w:pP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二、拟安排的项目负责人情况（仅限一人）（5分）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（一）评分内容：</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1.具有硕士及以上学历得1分，硕士以下学历得0.5分（以个人最高学历为准）；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2.具有系统架构师证书，得1分；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3.具有信息系统项目管理师证书（高级）得1分；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4.具有政府网站建设或维护类项目业绩经验，需提供项目合同佐证，每提供1项得1分，满分2分。其他不得分。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（二）评分依据：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1.投标人要求同时提供项目合同关键页信息证明文件作为得分依据。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2.要求投标人提供投入人员有效证书作为得分依据。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3. 要求投标人提供投入人员近三个月社保。</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4.以上资料均要求提供扫描件，原件备查。</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32"/>
                <w:szCs w:val="32"/>
                <w:bdr w:val="none" w:color="auto" w:sz="0" w:space="0"/>
              </w:rPr>
            </w:pP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三、项目团队（项目负责人除外）（10分）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（一）评分内容：</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项目团队成员需3人及以上，项目团队成员中：</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1.具有项目管理专业人士资格认证（PMP证书）证书的，每人得1.5分；具有软件设计师证书的，每人得1.5分； 具有高级软件工程师认证的，每人得1.5分；最高6分。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2.具有地市级（或以上）政府部门门户网站运维项目经验的每人得2分，最高4分。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（二）评分依据：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1.投标人要求同时提供项目合同关键页信息证明文件作为得分依据。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2.要求投标人提供投入人员有效证书作为得分依据。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3.要求投标人提供投入人员近三个月社保。</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4.以上资料均要求提供扫描件，原件备查。</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四、 投标人同类项目业绩情况（6分）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（一）评分内容：</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 xml:space="preserve">具有地市级（或以上）政府部门门户网站的运维项目经验，每个项目经验得2分，最高得6分。 </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（二）评分依据：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1.要求同时提供合同关键信息证明文件作为得分依据。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2.通过合同关键信息无法判断是否得分的，也可以提供能证明得分的其它证明资料，如项目报告或合同甲方出具的证明文件等。</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3.以上资料均要求提供扫描件，原件备查。</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五、投标人自主知识产权产品（创新、设计）情况（9分）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（一）评分内容：</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（1）网站诊断类软件；</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（2）数据洞察分析类软件；</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（3）海量文档检索类软件。</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具有以上软件自主知识产权、软件著作权每个得3分，最高得9分。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（二）评分依据：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1.要求提供有效的产权（专利）、软件著作权证书等证明材料作为得分依据。</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2.以上资料均要求提供扫描件，原件备查。</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六、投标人本地服务能力情况（2分）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（1）投标人为深圳供应商，或非深圳供应商但在深圳有合法注册的分公司（或售后机构）得2分；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（2）外地供应商承诺：中标后设立本地经营（服务）网点的提供承诺文件（格式自定）的，得1分。</w:t>
            </w:r>
          </w:p>
          <w:p>
            <w:pPr>
              <w:keepNext w:val="0"/>
              <w:keepLines w:val="0"/>
              <w:widowControl w:val="0"/>
              <w:suppressLineNumbers w:val="0"/>
              <w:spacing w:before="0" w:beforeAutospacing="0" w:after="0" w:afterAutospacing="0" w:line="400" w:lineRule="exact"/>
              <w:ind w:left="0" w:right="0" w:firstLine="0" w:firstLineChars="0"/>
              <w:jc w:val="both"/>
              <w:rPr>
                <w:rFonts w:hint="eastAsia" w:ascii="仿宋_GB2312" w:eastAsia="仿宋_GB2312" w:cs="仿宋_GB2312"/>
                <w:kern w:val="2"/>
                <w:sz w:val="24"/>
                <w:szCs w:val="24"/>
                <w:bdr w:val="none" w:color="auto" w:sz="0" w:space="0"/>
              </w:rPr>
            </w:pPr>
            <w:r>
              <w:rPr>
                <w:rFonts w:hint="eastAsia" w:ascii="仿宋_GB2312" w:hAnsi="Times New Roman" w:eastAsia="仿宋_GB2312" w:cs="仿宋_GB2312"/>
                <w:kern w:val="2"/>
                <w:sz w:val="24"/>
                <w:szCs w:val="24"/>
                <w:bdr w:val="none" w:color="auto" w:sz="0" w:space="0"/>
                <w:lang w:val="en-US" w:eastAsia="zh-CN" w:bidi="ar"/>
              </w:rPr>
              <w:t>以上6项累计计分，各项须提供相关的证明材料（均为扫描件，原件备查）作为得分依据。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B6B30"/>
    <w:rsid w:val="02DB6B30"/>
    <w:rsid w:val="0ED82F8C"/>
    <w:rsid w:val="5670527D"/>
    <w:rsid w:val="65472E61"/>
    <w:rsid w:val="6659220A"/>
    <w:rsid w:val="6F6B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widowControl/>
      <w:spacing w:before="0" w:beforeAutospacing="1" w:after="0" w:afterAutospacing="1" w:line="240" w:lineRule="auto"/>
      <w:ind w:left="0" w:right="0" w:firstLine="0" w:firstLineChars="0"/>
      <w:jc w:val="left"/>
    </w:pPr>
    <w:rPr>
      <w:rFonts w:ascii="宋体" w:hAnsi="宋体" w:eastAsia="宋体" w:cs="宋体"/>
      <w:kern w:val="0"/>
      <w:sz w:val="24"/>
      <w:szCs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2022-10-21T08:33:00Z</dcterms:created>
  <dc:creator>蔡文聪</dc:creator>
  <cp:lastModifiedBy>蔡文聪</cp:lastModifiedBy>
  <dcterms:modified xsi:type="dcterms:W3CDTF">2022-10-24T01:26:34Z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7CCD51C21C074C0D8A16668764EBFCF1</vt:lpwstr>
  </property>
</Properties>
</file>