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b/>
          <w:bCs/>
          <w:color w:val="000000"/>
          <w:sz w:val="32"/>
          <w:szCs w:val="32"/>
          <w:lang w:bidi="ar"/>
        </w:rPr>
      </w:pPr>
      <w:r>
        <w:rPr>
          <w:rFonts w:hint="eastAsia" w:ascii="黑体" w:hAnsi="黑体" w:eastAsia="黑体" w:cs="黑体"/>
          <w:b/>
          <w:bCs/>
          <w:color w:val="000000"/>
          <w:sz w:val="32"/>
          <w:szCs w:val="32"/>
          <w:lang w:bidi="ar"/>
        </w:rPr>
        <w:t>附件：</w:t>
      </w:r>
    </w:p>
    <w:p>
      <w:pPr>
        <w:spacing w:line="360" w:lineRule="auto"/>
        <w:jc w:val="center"/>
        <w:rPr>
          <w:rFonts w:ascii="方正小标宋简体" w:hAnsi="微软雅黑" w:eastAsia="方正小标宋简体" w:cs="Times New Roman"/>
          <w:color w:val="000000"/>
          <w:sz w:val="40"/>
          <w:szCs w:val="40"/>
        </w:rPr>
      </w:pPr>
    </w:p>
    <w:p>
      <w:pPr>
        <w:spacing w:line="360" w:lineRule="auto"/>
        <w:jc w:val="center"/>
        <w:rPr>
          <w:rFonts w:hint="eastAsia" w:ascii="宋体" w:hAnsi="宋体" w:eastAsia="宋体" w:cs="Times New Roman"/>
          <w:color w:val="000000"/>
          <w:sz w:val="44"/>
          <w:szCs w:val="44"/>
        </w:rPr>
      </w:pPr>
      <w:bookmarkStart w:id="0" w:name="_GoBack"/>
      <w:r>
        <w:rPr>
          <w:rFonts w:hint="eastAsia" w:ascii="宋体" w:hAnsi="宋体" w:eastAsia="宋体" w:cs="Times New Roman"/>
          <w:color w:val="000000"/>
          <w:sz w:val="44"/>
          <w:szCs w:val="44"/>
        </w:rPr>
        <w:t>深圳市金融机构环境信息披露</w:t>
      </w:r>
    </w:p>
    <w:p>
      <w:pPr>
        <w:spacing w:line="360" w:lineRule="auto"/>
        <w:jc w:val="center"/>
        <w:rPr>
          <w:rFonts w:ascii="宋体" w:hAnsi="宋体" w:eastAsia="宋体" w:cs="Times New Roman"/>
          <w:sz w:val="44"/>
          <w:szCs w:val="44"/>
        </w:rPr>
      </w:pPr>
      <w:r>
        <w:rPr>
          <w:rFonts w:hint="eastAsia" w:ascii="宋体" w:hAnsi="宋体" w:eastAsia="宋体" w:cs="Times New Roman"/>
          <w:color w:val="000000"/>
          <w:sz w:val="44"/>
          <w:szCs w:val="44"/>
        </w:rPr>
        <w:t>模板及指标说明</w:t>
      </w:r>
    </w:p>
    <w:bookmarkEnd w:id="0"/>
    <w:p>
      <w:pPr>
        <w:spacing w:line="360" w:lineRule="auto"/>
        <w:ind w:firstLine="640" w:firstLineChars="200"/>
        <w:rPr>
          <w:rFonts w:ascii="Times New Roman" w:hAnsi="Times New Roman" w:eastAsia="仿宋_GB2312" w:cs="Times New Roman"/>
          <w:sz w:val="32"/>
          <w:szCs w:val="32"/>
        </w:rPr>
      </w:pPr>
    </w:p>
    <w:p>
      <w:pPr>
        <w:rPr>
          <w:rFonts w:ascii="楷体" w:hAnsi="楷体" w:eastAsia="楷体" w:cs="仿宋"/>
          <w:b/>
          <w:bCs/>
          <w:color w:val="000000"/>
          <w:sz w:val="28"/>
          <w:szCs w:val="28"/>
        </w:rPr>
      </w:pPr>
      <w:r>
        <w:rPr>
          <w:rFonts w:hint="eastAsia" w:ascii="楷体" w:hAnsi="楷体" w:eastAsia="楷体" w:cs="仿宋"/>
          <w:b/>
          <w:bCs/>
          <w:color w:val="000000"/>
          <w:sz w:val="28"/>
          <w:szCs w:val="28"/>
        </w:rPr>
        <w:t>一、</w:t>
      </w:r>
      <w:r>
        <w:rPr>
          <w:rFonts w:hint="eastAsia" w:ascii="楷体" w:hAnsi="楷体" w:eastAsia="楷体" w:cs="Times New Roman"/>
          <w:b/>
          <w:bCs/>
          <w:sz w:val="32"/>
          <w:szCs w:val="32"/>
        </w:rPr>
        <w:t>金融机构环境信息披露报告模板</w:t>
      </w: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p>
    <w:p>
      <w:pPr>
        <w:spacing w:line="360" w:lineRule="auto"/>
        <w:jc w:val="center"/>
        <w:rPr>
          <w:rFonts w:ascii="宋体" w:hAnsi="宋体" w:eastAsia="宋体" w:cs="Times New Roman"/>
          <w:sz w:val="44"/>
          <w:szCs w:val="44"/>
        </w:rPr>
      </w:pPr>
      <w:r>
        <w:rPr>
          <w:rFonts w:ascii="宋体" w:hAnsi="宋体" w:eastAsia="宋体" w:cs="Times New Roman"/>
          <w:sz w:val="44"/>
          <w:szCs w:val="44"/>
        </w:rPr>
        <w:t>XXXX</w:t>
      </w:r>
      <w:r>
        <w:rPr>
          <w:rFonts w:hint="eastAsia" w:ascii="宋体" w:hAnsi="宋体" w:eastAsia="宋体" w:cs="Times New Roman"/>
          <w:sz w:val="44"/>
          <w:szCs w:val="44"/>
        </w:rPr>
        <w:t>公司</w:t>
      </w:r>
    </w:p>
    <w:p>
      <w:pPr>
        <w:spacing w:line="360" w:lineRule="auto"/>
        <w:jc w:val="center"/>
        <w:rPr>
          <w:rFonts w:ascii="宋体" w:hAnsi="宋体" w:eastAsia="宋体" w:cs="Times New Roman"/>
          <w:sz w:val="44"/>
          <w:szCs w:val="44"/>
        </w:rPr>
      </w:pPr>
      <w:r>
        <w:rPr>
          <w:rFonts w:hint="eastAsia" w:ascii="宋体" w:hAnsi="宋体" w:eastAsia="宋体" w:cs="Times New Roman"/>
          <w:sz w:val="44"/>
          <w:szCs w:val="44"/>
        </w:rPr>
        <w:t>环境信息披露报告</w:t>
      </w: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u w:val="thick"/>
        </w:rPr>
      </w:pPr>
    </w:p>
    <w:p>
      <w:pPr>
        <w:spacing w:line="360" w:lineRule="auto"/>
        <w:ind w:firstLine="640" w:firstLineChars="200"/>
        <w:rPr>
          <w:rFonts w:ascii="Times New Roman" w:hAnsi="Times New Roman" w:eastAsia="仿宋_GB2312" w:cs="Times New Roman"/>
          <w:sz w:val="32"/>
          <w:szCs w:val="32"/>
          <w:u w:val="thick"/>
        </w:rPr>
      </w:pPr>
      <w:r>
        <w:rPr>
          <w:rFonts w:hint="eastAsia" w:ascii="Times New Roman" w:hAnsi="Times New Roman" w:eastAsia="仿宋_GB2312" w:cs="Times New Roman"/>
          <w:sz w:val="32"/>
          <w:szCs w:val="32"/>
        </w:rPr>
        <w:t>报告年度：</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color w:val="FFFFFF" w:themeColor="background1"/>
          <w:sz w:val="32"/>
          <w:szCs w:val="32"/>
          <w:u w:val="single"/>
          <w14:textFill>
            <w14:solidFill>
              <w14:schemeClr w14:val="bg1"/>
            </w14:solidFill>
          </w14:textFill>
        </w:rPr>
        <w:t>（</w:t>
      </w:r>
      <w:r>
        <w:rPr>
          <w:rFonts w:ascii="Times New Roman" w:hAnsi="Times New Roman" w:eastAsia="仿宋_GB2312" w:cs="Times New Roman"/>
          <w:color w:val="FFFFFF" w:themeColor="background1"/>
          <w:sz w:val="32"/>
          <w:szCs w:val="32"/>
          <w:u w:val="thick"/>
          <w14:textFill>
            <w14:solidFill>
              <w14:schemeClr w14:val="bg1"/>
            </w14:solidFill>
          </w14:textFill>
        </w:rPr>
        <w:t xml:space="preserve"> </w:t>
      </w:r>
      <w:r>
        <w:rPr>
          <w:rFonts w:ascii="Times New Roman" w:hAnsi="Times New Roman" w:eastAsia="仿宋_GB2312" w:cs="Times New Roman"/>
          <w:sz w:val="32"/>
          <w:szCs w:val="32"/>
          <w:u w:val="thick"/>
        </w:rPr>
        <w:t xml:space="preserve">                                         </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编写单位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（公章）</w:t>
      </w:r>
    </w:p>
    <w:p>
      <w:pPr>
        <w:spacing w:line="360" w:lineRule="auto"/>
        <w:ind w:firstLine="640"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编制日期：</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color w:val="FFFFFF" w:themeColor="background1"/>
          <w:sz w:val="32"/>
          <w:szCs w:val="32"/>
          <w:u w:val="single"/>
          <w14:textFill>
            <w14:solidFill>
              <w14:schemeClr w14:val="bg1"/>
            </w14:solidFill>
          </w14:textFill>
        </w:rPr>
        <w:t>（</w:t>
      </w:r>
      <w:r>
        <w:rPr>
          <w:rFonts w:ascii="Times New Roman" w:hAnsi="Times New Roman" w:eastAsia="仿宋_GB2312" w:cs="Times New Roman"/>
          <w:sz w:val="32"/>
          <w:szCs w:val="32"/>
          <w:u w:val="single"/>
        </w:rPr>
        <w:t xml:space="preserve">                                   </w:t>
      </w:r>
    </w:p>
    <w:p>
      <w:pPr>
        <w:spacing w:line="360" w:lineRule="auto"/>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br w:type="page"/>
      </w:r>
    </w:p>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基本信息</w:t>
      </w: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2、战略目标</w:t>
      </w: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、环境及绿色金融相关治理</w:t>
      </w:r>
      <w:r>
        <w:rPr>
          <w:rFonts w:ascii="Times New Roman" w:hAnsi="Times New Roman" w:eastAsia="仿宋_GB2312" w:cs="Times New Roman"/>
          <w:sz w:val="32"/>
          <w:szCs w:val="32"/>
        </w:rPr>
        <w:t>结构</w:t>
      </w: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4、环境及绿色金融相关政策制度</w:t>
      </w: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5、环境风险管理</w:t>
      </w: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、经营活动的环境影响</w:t>
      </w: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、投融资活动的环境影响</w:t>
      </w: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、绿色金融培训及公益活动</w:t>
      </w: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9、绿色金融创新案例及成果奖项</w:t>
      </w: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、数据梳理、校验及保护</w:t>
      </w: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黑体" w:hAnsi="黑体" w:eastAsia="黑体"/>
          <w:sz w:val="28"/>
          <w:szCs w:val="24"/>
        </w:rPr>
      </w:pPr>
      <w:r>
        <w:rPr>
          <w:rFonts w:ascii="黑体" w:hAnsi="黑体" w:eastAsia="黑体"/>
          <w:sz w:val="28"/>
          <w:szCs w:val="24"/>
        </w:rPr>
        <w:t>表1.1 经营活动的环境影响</w:t>
      </w:r>
      <w:r>
        <w:rPr>
          <w:rFonts w:hint="eastAsia" w:ascii="黑体" w:hAnsi="黑体" w:eastAsia="黑体"/>
          <w:sz w:val="28"/>
          <w:szCs w:val="24"/>
        </w:rPr>
        <w:t>定量指标</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647"/>
        <w:gridCol w:w="3114"/>
        <w:gridCol w:w="838"/>
        <w:gridCol w:w="982"/>
        <w:gridCol w:w="73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pPr>
              <w:jc w:val="center"/>
              <w:rPr>
                <w:rFonts w:ascii="宋体" w:hAnsi="宋体" w:eastAsia="宋体"/>
                <w:b/>
                <w:szCs w:val="21"/>
              </w:rPr>
            </w:pPr>
            <w:r>
              <w:rPr>
                <w:rFonts w:hint="eastAsia" w:ascii="宋体" w:hAnsi="宋体" w:eastAsia="宋体"/>
                <w:b/>
                <w:szCs w:val="21"/>
              </w:rPr>
              <w:t>指标名称</w:t>
            </w:r>
          </w:p>
        </w:tc>
        <w:tc>
          <w:tcPr>
            <w:tcW w:w="5599" w:type="dxa"/>
            <w:gridSpan w:val="3"/>
            <w:vAlign w:val="center"/>
          </w:tcPr>
          <w:p>
            <w:pPr>
              <w:jc w:val="center"/>
              <w:rPr>
                <w:rFonts w:ascii="宋体" w:hAnsi="宋体" w:eastAsia="宋体"/>
                <w:b/>
                <w:szCs w:val="21"/>
              </w:rPr>
            </w:pPr>
            <w:r>
              <w:rPr>
                <w:rFonts w:hint="eastAsia" w:ascii="宋体" w:hAnsi="宋体" w:eastAsia="宋体"/>
                <w:b/>
                <w:szCs w:val="21"/>
              </w:rPr>
              <w:t>披露细项</w:t>
            </w:r>
          </w:p>
        </w:tc>
        <w:tc>
          <w:tcPr>
            <w:tcW w:w="982" w:type="dxa"/>
            <w:vAlign w:val="center"/>
          </w:tcPr>
          <w:p>
            <w:pPr>
              <w:jc w:val="center"/>
              <w:rPr>
                <w:rFonts w:ascii="宋体" w:hAnsi="宋体" w:eastAsia="宋体"/>
                <w:b/>
                <w:szCs w:val="21"/>
              </w:rPr>
            </w:pPr>
            <w:r>
              <w:rPr>
                <w:rFonts w:hint="eastAsia" w:ascii="宋体" w:hAnsi="宋体" w:eastAsia="宋体"/>
                <w:b/>
                <w:szCs w:val="21"/>
              </w:rPr>
              <w:t>单位</w:t>
            </w:r>
          </w:p>
        </w:tc>
        <w:tc>
          <w:tcPr>
            <w:tcW w:w="731" w:type="dxa"/>
            <w:vAlign w:val="center"/>
          </w:tcPr>
          <w:p>
            <w:pPr>
              <w:jc w:val="center"/>
              <w:rPr>
                <w:rFonts w:ascii="宋体" w:hAnsi="宋体" w:eastAsia="宋体"/>
                <w:b/>
                <w:szCs w:val="21"/>
              </w:rPr>
            </w:pPr>
            <w:r>
              <w:rPr>
                <w:rFonts w:hint="eastAsia" w:ascii="宋体" w:hAnsi="宋体" w:eastAsia="宋体"/>
                <w:b/>
                <w:szCs w:val="21"/>
              </w:rPr>
              <w:t>总量</w:t>
            </w:r>
          </w:p>
        </w:tc>
        <w:tc>
          <w:tcPr>
            <w:tcW w:w="709" w:type="dxa"/>
            <w:vAlign w:val="center"/>
          </w:tcPr>
          <w:p>
            <w:pPr>
              <w:jc w:val="center"/>
              <w:rPr>
                <w:rFonts w:ascii="宋体" w:hAnsi="宋体" w:eastAsia="宋体"/>
                <w:b/>
                <w:szCs w:val="21"/>
              </w:rPr>
            </w:pPr>
            <w:r>
              <w:rPr>
                <w:rFonts w:hint="eastAsia" w:ascii="宋体" w:hAnsi="宋体" w:eastAsia="宋体"/>
                <w:b/>
                <w:szCs w:val="21"/>
              </w:rPr>
              <w:t>人均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jc w:val="center"/>
              <w:rPr>
                <w:rFonts w:ascii="宋体" w:hAnsi="宋体" w:eastAsia="宋体"/>
                <w:szCs w:val="21"/>
              </w:rPr>
            </w:pPr>
            <w:r>
              <w:rPr>
                <w:rFonts w:hint="eastAsia" w:ascii="宋体" w:hAnsi="宋体" w:eastAsia="宋体"/>
                <w:szCs w:val="21"/>
              </w:rPr>
              <w:t>能源消耗</w:t>
            </w:r>
          </w:p>
        </w:tc>
        <w:tc>
          <w:tcPr>
            <w:tcW w:w="4761" w:type="dxa"/>
            <w:gridSpan w:val="2"/>
            <w:vMerge w:val="restart"/>
            <w:vAlign w:val="center"/>
          </w:tcPr>
          <w:p>
            <w:pPr>
              <w:rPr>
                <w:rFonts w:ascii="宋体" w:hAnsi="宋体" w:eastAsia="宋体"/>
                <w:szCs w:val="21"/>
              </w:rPr>
            </w:pPr>
            <w:r>
              <w:rPr>
                <w:rFonts w:hint="eastAsia" w:ascii="宋体" w:hAnsi="宋体" w:eastAsia="宋体"/>
                <w:szCs w:val="21"/>
              </w:rPr>
              <w:t>营业办公所消耗的</w:t>
            </w:r>
            <w:r>
              <w:rPr>
                <w:rFonts w:ascii="宋体" w:hAnsi="宋体" w:eastAsia="宋体"/>
                <w:szCs w:val="21"/>
              </w:rPr>
              <w:t>化石能源</w:t>
            </w:r>
          </w:p>
        </w:tc>
        <w:tc>
          <w:tcPr>
            <w:tcW w:w="838" w:type="dxa"/>
            <w:vAlign w:val="center"/>
          </w:tcPr>
          <w:p>
            <w:pPr>
              <w:jc w:val="center"/>
              <w:rPr>
                <w:rFonts w:ascii="宋体" w:hAnsi="宋体" w:eastAsia="宋体"/>
                <w:szCs w:val="21"/>
              </w:rPr>
            </w:pPr>
            <w:r>
              <w:rPr>
                <w:rFonts w:hint="eastAsia" w:ascii="宋体" w:hAnsi="宋体" w:eastAsia="宋体"/>
                <w:szCs w:val="21"/>
              </w:rPr>
              <w:t>煤炭</w:t>
            </w:r>
          </w:p>
        </w:tc>
        <w:tc>
          <w:tcPr>
            <w:tcW w:w="982" w:type="dxa"/>
            <w:vAlign w:val="center"/>
          </w:tcPr>
          <w:p>
            <w:pPr>
              <w:jc w:val="center"/>
              <w:rPr>
                <w:rFonts w:ascii="宋体" w:hAnsi="宋体" w:eastAsia="宋体"/>
                <w:szCs w:val="21"/>
              </w:rPr>
            </w:pPr>
            <w:r>
              <w:rPr>
                <w:rFonts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4761" w:type="dxa"/>
            <w:gridSpan w:val="2"/>
            <w:vMerge w:val="continue"/>
            <w:vAlign w:val="center"/>
          </w:tcPr>
          <w:p>
            <w:pPr>
              <w:rPr>
                <w:rFonts w:ascii="宋体" w:hAnsi="宋体" w:eastAsia="宋体"/>
                <w:szCs w:val="21"/>
              </w:rPr>
            </w:pPr>
          </w:p>
        </w:tc>
        <w:tc>
          <w:tcPr>
            <w:tcW w:w="838" w:type="dxa"/>
            <w:vAlign w:val="center"/>
          </w:tcPr>
          <w:p>
            <w:pPr>
              <w:jc w:val="center"/>
              <w:rPr>
                <w:rFonts w:ascii="宋体" w:hAnsi="宋体" w:eastAsia="宋体"/>
                <w:szCs w:val="21"/>
              </w:rPr>
            </w:pPr>
            <w:r>
              <w:rPr>
                <w:rFonts w:hint="eastAsia" w:ascii="宋体" w:hAnsi="宋体" w:eastAsia="宋体"/>
                <w:szCs w:val="21"/>
              </w:rPr>
              <w:t>柴油</w:t>
            </w:r>
          </w:p>
        </w:tc>
        <w:tc>
          <w:tcPr>
            <w:tcW w:w="982" w:type="dxa"/>
            <w:vAlign w:val="center"/>
          </w:tcPr>
          <w:p>
            <w:pPr>
              <w:jc w:val="center"/>
              <w:rPr>
                <w:rFonts w:ascii="宋体" w:hAnsi="宋体" w:eastAsia="宋体"/>
                <w:szCs w:val="21"/>
              </w:rPr>
            </w:pPr>
            <w:r>
              <w:rPr>
                <w:rFonts w:hint="eastAsia" w:ascii="宋体" w:hAnsi="宋体" w:eastAsia="宋体"/>
                <w:szCs w:val="21"/>
              </w:rPr>
              <w:t>升</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3" w:type="dxa"/>
            <w:vMerge w:val="continue"/>
            <w:vAlign w:val="center"/>
          </w:tcPr>
          <w:p>
            <w:pPr>
              <w:jc w:val="center"/>
              <w:rPr>
                <w:rFonts w:ascii="宋体" w:hAnsi="宋体" w:eastAsia="宋体"/>
                <w:szCs w:val="21"/>
              </w:rPr>
            </w:pPr>
          </w:p>
        </w:tc>
        <w:tc>
          <w:tcPr>
            <w:tcW w:w="4761" w:type="dxa"/>
            <w:gridSpan w:val="2"/>
            <w:vMerge w:val="continue"/>
            <w:vAlign w:val="center"/>
          </w:tcPr>
          <w:p>
            <w:pPr>
              <w:rPr>
                <w:rFonts w:ascii="宋体" w:hAnsi="宋体" w:eastAsia="宋体"/>
                <w:szCs w:val="21"/>
              </w:rPr>
            </w:pPr>
          </w:p>
        </w:tc>
        <w:tc>
          <w:tcPr>
            <w:tcW w:w="838" w:type="dxa"/>
            <w:vAlign w:val="center"/>
          </w:tcPr>
          <w:p>
            <w:pPr>
              <w:jc w:val="center"/>
              <w:rPr>
                <w:rFonts w:ascii="宋体" w:hAnsi="宋体" w:eastAsia="宋体"/>
                <w:szCs w:val="21"/>
              </w:rPr>
            </w:pPr>
            <w:r>
              <w:rPr>
                <w:rFonts w:hint="eastAsia" w:ascii="宋体" w:hAnsi="宋体" w:eastAsia="宋体"/>
                <w:szCs w:val="21"/>
              </w:rPr>
              <w:t>汽油</w:t>
            </w:r>
          </w:p>
        </w:tc>
        <w:tc>
          <w:tcPr>
            <w:tcW w:w="982" w:type="dxa"/>
            <w:vAlign w:val="center"/>
          </w:tcPr>
          <w:p>
            <w:pPr>
              <w:jc w:val="center"/>
              <w:rPr>
                <w:rFonts w:ascii="宋体" w:hAnsi="宋体" w:eastAsia="宋体"/>
                <w:szCs w:val="21"/>
              </w:rPr>
            </w:pPr>
            <w:r>
              <w:rPr>
                <w:rFonts w:hint="eastAsia" w:ascii="宋体" w:hAnsi="宋体" w:eastAsia="宋体"/>
                <w:szCs w:val="21"/>
              </w:rPr>
              <w:t>升</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4761" w:type="dxa"/>
            <w:gridSpan w:val="2"/>
            <w:vMerge w:val="continue"/>
            <w:vAlign w:val="center"/>
          </w:tcPr>
          <w:p>
            <w:pPr>
              <w:rPr>
                <w:rFonts w:ascii="宋体" w:hAnsi="宋体" w:eastAsia="宋体"/>
                <w:szCs w:val="21"/>
              </w:rPr>
            </w:pPr>
          </w:p>
        </w:tc>
        <w:tc>
          <w:tcPr>
            <w:tcW w:w="838" w:type="dxa"/>
            <w:vAlign w:val="center"/>
          </w:tcPr>
          <w:p>
            <w:pPr>
              <w:jc w:val="center"/>
              <w:rPr>
                <w:rFonts w:ascii="宋体" w:hAnsi="宋体" w:eastAsia="宋体"/>
                <w:szCs w:val="21"/>
              </w:rPr>
            </w:pPr>
            <w:r>
              <w:rPr>
                <w:rFonts w:hint="eastAsia" w:ascii="宋体" w:hAnsi="宋体" w:eastAsia="宋体"/>
                <w:szCs w:val="21"/>
              </w:rPr>
              <w:t>天然气</w:t>
            </w:r>
          </w:p>
        </w:tc>
        <w:tc>
          <w:tcPr>
            <w:tcW w:w="982" w:type="dxa"/>
            <w:vAlign w:val="center"/>
          </w:tcPr>
          <w:p>
            <w:pPr>
              <w:jc w:val="center"/>
              <w:rPr>
                <w:rFonts w:ascii="宋体" w:hAnsi="宋体" w:eastAsia="宋体"/>
                <w:szCs w:val="21"/>
              </w:rPr>
            </w:pPr>
            <w:r>
              <w:rPr>
                <w:rFonts w:hint="eastAsia" w:ascii="宋体" w:hAnsi="宋体" w:eastAsia="宋体"/>
                <w:szCs w:val="21"/>
              </w:rPr>
              <w:t>立方米</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4761" w:type="dxa"/>
            <w:gridSpan w:val="2"/>
            <w:vMerge w:val="restart"/>
            <w:vAlign w:val="center"/>
          </w:tcPr>
          <w:p>
            <w:pPr>
              <w:rPr>
                <w:rFonts w:ascii="宋体" w:hAnsi="宋体" w:eastAsia="宋体"/>
                <w:szCs w:val="21"/>
              </w:rPr>
            </w:pPr>
            <w:r>
              <w:rPr>
                <w:rFonts w:hint="eastAsia" w:ascii="宋体" w:hAnsi="宋体" w:eastAsia="宋体"/>
                <w:szCs w:val="21"/>
              </w:rPr>
              <w:t>自有交通运输工具所消耗的燃油</w:t>
            </w:r>
          </w:p>
        </w:tc>
        <w:tc>
          <w:tcPr>
            <w:tcW w:w="838" w:type="dxa"/>
            <w:vAlign w:val="center"/>
          </w:tcPr>
          <w:p>
            <w:pPr>
              <w:jc w:val="center"/>
              <w:rPr>
                <w:rFonts w:ascii="宋体" w:hAnsi="宋体" w:eastAsia="宋体"/>
                <w:szCs w:val="21"/>
              </w:rPr>
            </w:pPr>
            <w:r>
              <w:rPr>
                <w:rFonts w:hint="eastAsia" w:ascii="宋体" w:hAnsi="宋体" w:eastAsia="宋体"/>
                <w:szCs w:val="21"/>
              </w:rPr>
              <w:t>柴油</w:t>
            </w:r>
          </w:p>
        </w:tc>
        <w:tc>
          <w:tcPr>
            <w:tcW w:w="982" w:type="dxa"/>
            <w:vAlign w:val="center"/>
          </w:tcPr>
          <w:p>
            <w:pPr>
              <w:jc w:val="center"/>
              <w:rPr>
                <w:rFonts w:ascii="宋体" w:hAnsi="宋体" w:eastAsia="宋体"/>
                <w:szCs w:val="21"/>
              </w:rPr>
            </w:pPr>
            <w:r>
              <w:rPr>
                <w:rFonts w:hint="eastAsia" w:ascii="宋体" w:hAnsi="宋体" w:eastAsia="宋体"/>
                <w:szCs w:val="21"/>
              </w:rPr>
              <w:t>升</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4761" w:type="dxa"/>
            <w:gridSpan w:val="2"/>
            <w:vMerge w:val="continue"/>
            <w:vAlign w:val="center"/>
          </w:tcPr>
          <w:p>
            <w:pPr>
              <w:rPr>
                <w:rFonts w:ascii="宋体" w:hAnsi="宋体" w:eastAsia="宋体"/>
                <w:szCs w:val="21"/>
              </w:rPr>
            </w:pPr>
          </w:p>
        </w:tc>
        <w:tc>
          <w:tcPr>
            <w:tcW w:w="838" w:type="dxa"/>
            <w:vAlign w:val="center"/>
          </w:tcPr>
          <w:p>
            <w:pPr>
              <w:jc w:val="center"/>
              <w:rPr>
                <w:rFonts w:ascii="宋体" w:hAnsi="宋体" w:eastAsia="宋体"/>
                <w:szCs w:val="21"/>
              </w:rPr>
            </w:pPr>
            <w:r>
              <w:rPr>
                <w:rFonts w:hint="eastAsia" w:ascii="宋体" w:hAnsi="宋体" w:eastAsia="宋体"/>
                <w:szCs w:val="21"/>
              </w:rPr>
              <w:t>汽油</w:t>
            </w:r>
          </w:p>
        </w:tc>
        <w:tc>
          <w:tcPr>
            <w:tcW w:w="982" w:type="dxa"/>
            <w:vAlign w:val="center"/>
          </w:tcPr>
          <w:p>
            <w:pPr>
              <w:jc w:val="center"/>
              <w:rPr>
                <w:rFonts w:ascii="宋体" w:hAnsi="宋体" w:eastAsia="宋体"/>
                <w:szCs w:val="21"/>
              </w:rPr>
            </w:pPr>
            <w:r>
              <w:rPr>
                <w:rFonts w:hint="eastAsia" w:ascii="宋体" w:hAnsi="宋体" w:eastAsia="宋体"/>
                <w:szCs w:val="21"/>
              </w:rPr>
              <w:t>升</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3" w:type="dxa"/>
            <w:vMerge w:val="continue"/>
            <w:vAlign w:val="center"/>
          </w:tcPr>
          <w:p>
            <w:pPr>
              <w:jc w:val="center"/>
              <w:rPr>
                <w:rFonts w:ascii="宋体" w:hAnsi="宋体" w:eastAsia="宋体"/>
                <w:szCs w:val="21"/>
              </w:rPr>
            </w:pPr>
          </w:p>
        </w:tc>
        <w:tc>
          <w:tcPr>
            <w:tcW w:w="4761" w:type="dxa"/>
            <w:gridSpan w:val="2"/>
            <w:vMerge w:val="restart"/>
            <w:vAlign w:val="center"/>
          </w:tcPr>
          <w:p>
            <w:pPr>
              <w:rPr>
                <w:rFonts w:ascii="宋体" w:hAnsi="宋体" w:eastAsia="宋体"/>
                <w:szCs w:val="21"/>
              </w:rPr>
            </w:pPr>
            <w:r>
              <w:rPr>
                <w:rFonts w:hint="eastAsia" w:ascii="宋体" w:hAnsi="宋体" w:eastAsia="宋体"/>
                <w:szCs w:val="21"/>
              </w:rPr>
              <w:t>自有采暖（制冷）设备所消耗的燃料（如有）</w:t>
            </w:r>
          </w:p>
        </w:tc>
        <w:tc>
          <w:tcPr>
            <w:tcW w:w="838" w:type="dxa"/>
            <w:vAlign w:val="center"/>
          </w:tcPr>
          <w:p>
            <w:pPr>
              <w:jc w:val="center"/>
              <w:rPr>
                <w:rFonts w:ascii="宋体" w:hAnsi="宋体" w:eastAsia="宋体"/>
                <w:szCs w:val="21"/>
              </w:rPr>
            </w:pPr>
            <w:r>
              <w:rPr>
                <w:rFonts w:hint="eastAsia" w:ascii="宋体" w:hAnsi="宋体" w:eastAsia="宋体"/>
                <w:szCs w:val="21"/>
              </w:rPr>
              <w:t>煤炭</w:t>
            </w:r>
          </w:p>
        </w:tc>
        <w:tc>
          <w:tcPr>
            <w:tcW w:w="982" w:type="dxa"/>
            <w:vAlign w:val="center"/>
          </w:tcPr>
          <w:p>
            <w:pPr>
              <w:jc w:val="center"/>
              <w:rPr>
                <w:rFonts w:ascii="宋体" w:hAnsi="宋体" w:eastAsia="宋体"/>
                <w:szCs w:val="21"/>
              </w:rPr>
            </w:pPr>
            <w:r>
              <w:rPr>
                <w:rFonts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4761" w:type="dxa"/>
            <w:gridSpan w:val="2"/>
            <w:vMerge w:val="continue"/>
            <w:vAlign w:val="center"/>
          </w:tcPr>
          <w:p>
            <w:pPr>
              <w:rPr>
                <w:rFonts w:ascii="宋体" w:hAnsi="宋体" w:eastAsia="宋体"/>
                <w:szCs w:val="21"/>
              </w:rPr>
            </w:pPr>
          </w:p>
        </w:tc>
        <w:tc>
          <w:tcPr>
            <w:tcW w:w="838" w:type="dxa"/>
            <w:vAlign w:val="center"/>
          </w:tcPr>
          <w:p>
            <w:pPr>
              <w:jc w:val="center"/>
              <w:rPr>
                <w:rFonts w:ascii="宋体" w:hAnsi="宋体" w:eastAsia="宋体"/>
                <w:szCs w:val="21"/>
              </w:rPr>
            </w:pPr>
            <w:r>
              <w:rPr>
                <w:rFonts w:hint="eastAsia" w:ascii="宋体" w:hAnsi="宋体" w:eastAsia="宋体"/>
                <w:szCs w:val="21"/>
              </w:rPr>
              <w:t>柴油</w:t>
            </w:r>
          </w:p>
        </w:tc>
        <w:tc>
          <w:tcPr>
            <w:tcW w:w="982" w:type="dxa"/>
            <w:vAlign w:val="center"/>
          </w:tcPr>
          <w:p>
            <w:pPr>
              <w:jc w:val="center"/>
              <w:rPr>
                <w:rFonts w:ascii="宋体" w:hAnsi="宋体" w:eastAsia="宋体"/>
                <w:szCs w:val="21"/>
              </w:rPr>
            </w:pPr>
            <w:r>
              <w:rPr>
                <w:rFonts w:hint="eastAsia" w:ascii="宋体" w:hAnsi="宋体" w:eastAsia="宋体"/>
                <w:szCs w:val="21"/>
              </w:rPr>
              <w:t>升</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4761" w:type="dxa"/>
            <w:gridSpan w:val="2"/>
            <w:vMerge w:val="continue"/>
            <w:vAlign w:val="center"/>
          </w:tcPr>
          <w:p>
            <w:pPr>
              <w:rPr>
                <w:rFonts w:ascii="宋体" w:hAnsi="宋体" w:eastAsia="宋体"/>
                <w:szCs w:val="21"/>
              </w:rPr>
            </w:pPr>
          </w:p>
        </w:tc>
        <w:tc>
          <w:tcPr>
            <w:tcW w:w="838" w:type="dxa"/>
            <w:vAlign w:val="center"/>
          </w:tcPr>
          <w:p>
            <w:pPr>
              <w:jc w:val="center"/>
              <w:rPr>
                <w:rFonts w:ascii="宋体" w:hAnsi="宋体" w:eastAsia="宋体"/>
                <w:szCs w:val="21"/>
              </w:rPr>
            </w:pPr>
            <w:r>
              <w:rPr>
                <w:rFonts w:hint="eastAsia" w:ascii="宋体" w:hAnsi="宋体" w:eastAsia="宋体"/>
                <w:szCs w:val="21"/>
              </w:rPr>
              <w:t>汽油</w:t>
            </w:r>
          </w:p>
        </w:tc>
        <w:tc>
          <w:tcPr>
            <w:tcW w:w="982" w:type="dxa"/>
            <w:vAlign w:val="center"/>
          </w:tcPr>
          <w:p>
            <w:pPr>
              <w:jc w:val="center"/>
              <w:rPr>
                <w:rFonts w:ascii="宋体" w:hAnsi="宋体" w:eastAsia="宋体"/>
                <w:szCs w:val="21"/>
              </w:rPr>
            </w:pPr>
            <w:r>
              <w:rPr>
                <w:rFonts w:hint="eastAsia" w:ascii="宋体" w:hAnsi="宋体" w:eastAsia="宋体"/>
                <w:szCs w:val="21"/>
              </w:rPr>
              <w:t>升</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4761" w:type="dxa"/>
            <w:gridSpan w:val="2"/>
            <w:vMerge w:val="continue"/>
            <w:vAlign w:val="center"/>
          </w:tcPr>
          <w:p>
            <w:pPr>
              <w:rPr>
                <w:rFonts w:ascii="宋体" w:hAnsi="宋体" w:eastAsia="宋体"/>
                <w:szCs w:val="21"/>
              </w:rPr>
            </w:pPr>
          </w:p>
        </w:tc>
        <w:tc>
          <w:tcPr>
            <w:tcW w:w="838" w:type="dxa"/>
            <w:vAlign w:val="center"/>
          </w:tcPr>
          <w:p>
            <w:pPr>
              <w:jc w:val="center"/>
              <w:rPr>
                <w:rFonts w:ascii="宋体" w:hAnsi="宋体" w:eastAsia="宋体"/>
                <w:szCs w:val="21"/>
              </w:rPr>
            </w:pPr>
            <w:r>
              <w:rPr>
                <w:rFonts w:hint="eastAsia" w:ascii="宋体" w:hAnsi="宋体" w:eastAsia="宋体"/>
                <w:szCs w:val="21"/>
              </w:rPr>
              <w:t>天然气</w:t>
            </w:r>
          </w:p>
        </w:tc>
        <w:tc>
          <w:tcPr>
            <w:tcW w:w="982" w:type="dxa"/>
            <w:vAlign w:val="center"/>
          </w:tcPr>
          <w:p>
            <w:pPr>
              <w:jc w:val="center"/>
              <w:rPr>
                <w:rFonts w:ascii="宋体" w:hAnsi="宋体" w:eastAsia="宋体"/>
                <w:szCs w:val="21"/>
              </w:rPr>
            </w:pPr>
            <w:r>
              <w:rPr>
                <w:rFonts w:hint="eastAsia" w:ascii="宋体" w:hAnsi="宋体" w:eastAsia="宋体"/>
                <w:szCs w:val="21"/>
              </w:rPr>
              <w:t>立方米</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3" w:type="dxa"/>
            <w:vMerge w:val="continue"/>
            <w:vAlign w:val="center"/>
          </w:tcPr>
          <w:p>
            <w:pPr>
              <w:jc w:val="center"/>
              <w:rPr>
                <w:rFonts w:ascii="宋体" w:hAnsi="宋体" w:eastAsia="宋体"/>
                <w:szCs w:val="21"/>
              </w:rPr>
            </w:pPr>
          </w:p>
        </w:tc>
        <w:tc>
          <w:tcPr>
            <w:tcW w:w="4761" w:type="dxa"/>
            <w:gridSpan w:val="2"/>
            <w:vAlign w:val="center"/>
          </w:tcPr>
          <w:p>
            <w:pPr>
              <w:rPr>
                <w:rFonts w:ascii="宋体" w:hAnsi="宋体" w:eastAsia="宋体"/>
                <w:szCs w:val="21"/>
              </w:rPr>
            </w:pPr>
            <w:r>
              <w:rPr>
                <w:rFonts w:hint="eastAsia" w:ascii="宋体" w:hAnsi="宋体" w:eastAsia="宋体"/>
                <w:szCs w:val="21"/>
              </w:rPr>
              <w:t>营业办公所消耗的电力</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千瓦时</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4761" w:type="dxa"/>
            <w:gridSpan w:val="2"/>
            <w:vAlign w:val="center"/>
          </w:tcPr>
          <w:p>
            <w:pPr>
              <w:rPr>
                <w:rFonts w:ascii="宋体" w:hAnsi="宋体" w:eastAsia="宋体"/>
                <w:szCs w:val="21"/>
              </w:rPr>
            </w:pPr>
            <w:r>
              <w:rPr>
                <w:rFonts w:hint="eastAsia" w:ascii="宋体" w:hAnsi="宋体" w:eastAsia="宋体"/>
                <w:szCs w:val="21"/>
              </w:rPr>
              <w:t>购买的采暖（制冷）服务所消耗的燃料（如有）</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吨标煤</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4761" w:type="dxa"/>
            <w:gridSpan w:val="2"/>
            <w:vAlign w:val="center"/>
          </w:tcPr>
          <w:p>
            <w:pPr>
              <w:rPr>
                <w:rFonts w:ascii="宋体" w:hAnsi="宋体" w:eastAsia="宋体"/>
                <w:szCs w:val="21"/>
              </w:rPr>
            </w:pPr>
            <w:r>
              <w:rPr>
                <w:rFonts w:hint="eastAsia" w:ascii="宋体" w:hAnsi="宋体" w:eastAsia="宋体"/>
                <w:szCs w:val="21"/>
              </w:rPr>
              <w:t>雇员因工作需要出差所乘坐的交通工具所消耗的能源</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吨标煤</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63" w:type="dxa"/>
            <w:vAlign w:val="center"/>
          </w:tcPr>
          <w:p>
            <w:pPr>
              <w:jc w:val="center"/>
              <w:rPr>
                <w:rFonts w:ascii="宋体" w:hAnsi="宋体" w:eastAsia="宋体"/>
                <w:szCs w:val="21"/>
              </w:rPr>
            </w:pPr>
            <w:r>
              <w:rPr>
                <w:rFonts w:hint="eastAsia" w:ascii="宋体" w:hAnsi="宋体" w:eastAsia="宋体"/>
                <w:szCs w:val="21"/>
              </w:rPr>
              <w:t>水消耗</w:t>
            </w:r>
          </w:p>
        </w:tc>
        <w:tc>
          <w:tcPr>
            <w:tcW w:w="4761" w:type="dxa"/>
            <w:gridSpan w:val="2"/>
            <w:vAlign w:val="center"/>
          </w:tcPr>
          <w:p>
            <w:pPr>
              <w:rPr>
                <w:rFonts w:ascii="宋体" w:hAnsi="宋体" w:eastAsia="宋体"/>
                <w:szCs w:val="21"/>
              </w:rPr>
            </w:pPr>
            <w:r>
              <w:rPr>
                <w:rFonts w:hint="eastAsia" w:ascii="宋体" w:hAnsi="宋体" w:eastAsia="宋体"/>
                <w:szCs w:val="21"/>
              </w:rPr>
              <w:t>营业办公所消耗的水</w:t>
            </w:r>
          </w:p>
        </w:tc>
        <w:tc>
          <w:tcPr>
            <w:tcW w:w="838" w:type="dxa"/>
            <w:vAlign w:val="center"/>
          </w:tcPr>
          <w:p>
            <w:pPr>
              <w:jc w:val="center"/>
              <w:rPr>
                <w:rFonts w:ascii="宋体" w:hAnsi="宋体" w:eastAsia="宋体"/>
                <w:szCs w:val="21"/>
              </w:rPr>
            </w:pPr>
            <w:r>
              <w:rPr>
                <w:rFonts w:hint="eastAsia" w:ascii="宋体" w:hAnsi="宋体" w:eastAsia="宋体"/>
                <w:szCs w:val="21"/>
              </w:rPr>
              <w:t>总量</w:t>
            </w:r>
          </w:p>
        </w:tc>
        <w:tc>
          <w:tcPr>
            <w:tcW w:w="982" w:type="dxa"/>
            <w:vAlign w:val="center"/>
          </w:tcPr>
          <w:p>
            <w:pPr>
              <w:jc w:val="center"/>
              <w:rPr>
                <w:rFonts w:ascii="宋体" w:hAnsi="宋体" w:eastAsia="宋体"/>
                <w:szCs w:val="21"/>
              </w:rPr>
            </w:pPr>
            <w:r>
              <w:rPr>
                <w:rFonts w:hint="eastAsia"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jc w:val="center"/>
              <w:rPr>
                <w:rFonts w:ascii="宋体" w:hAnsi="宋体" w:eastAsia="宋体"/>
                <w:szCs w:val="21"/>
              </w:rPr>
            </w:pPr>
            <w:r>
              <w:rPr>
                <w:rFonts w:hint="eastAsia" w:ascii="宋体" w:hAnsi="宋体" w:eastAsia="宋体"/>
                <w:szCs w:val="21"/>
              </w:rPr>
              <w:t>纸张消耗</w:t>
            </w:r>
          </w:p>
        </w:tc>
        <w:tc>
          <w:tcPr>
            <w:tcW w:w="4761" w:type="dxa"/>
            <w:gridSpan w:val="2"/>
            <w:vAlign w:val="center"/>
          </w:tcPr>
          <w:p>
            <w:pPr>
              <w:rPr>
                <w:rFonts w:ascii="宋体" w:hAnsi="宋体" w:eastAsia="宋体"/>
                <w:szCs w:val="21"/>
              </w:rPr>
            </w:pPr>
            <w:r>
              <w:rPr>
                <w:rFonts w:hint="eastAsia" w:ascii="宋体" w:hAnsi="宋体" w:eastAsia="宋体"/>
                <w:szCs w:val="21"/>
              </w:rPr>
              <w:t>营业办公所消耗的纸张</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4761" w:type="dxa"/>
            <w:gridSpan w:val="2"/>
            <w:vMerge w:val="restart"/>
            <w:vAlign w:val="center"/>
          </w:tcPr>
          <w:p>
            <w:pPr>
              <w:rPr>
                <w:rFonts w:ascii="宋体" w:hAnsi="宋体" w:eastAsia="宋体"/>
                <w:szCs w:val="21"/>
              </w:rPr>
            </w:pPr>
            <w:r>
              <w:rPr>
                <w:rFonts w:hint="eastAsia" w:ascii="宋体" w:hAnsi="宋体" w:eastAsia="宋体"/>
                <w:szCs w:val="21"/>
              </w:rPr>
              <w:t>营业办公消耗的回收纸用量及比例（可选项）</w:t>
            </w:r>
          </w:p>
        </w:tc>
        <w:tc>
          <w:tcPr>
            <w:tcW w:w="838" w:type="dxa"/>
            <w:vAlign w:val="center"/>
          </w:tcPr>
          <w:p>
            <w:pPr>
              <w:jc w:val="center"/>
              <w:rPr>
                <w:rFonts w:ascii="宋体" w:hAnsi="宋体" w:eastAsia="宋体"/>
                <w:szCs w:val="21"/>
              </w:rPr>
            </w:pPr>
            <w:r>
              <w:rPr>
                <w:rFonts w:ascii="宋体" w:hAnsi="宋体" w:eastAsia="宋体"/>
                <w:szCs w:val="21"/>
              </w:rPr>
              <w:t>总量</w:t>
            </w:r>
          </w:p>
        </w:tc>
        <w:tc>
          <w:tcPr>
            <w:tcW w:w="982" w:type="dxa"/>
            <w:vAlign w:val="center"/>
          </w:tcPr>
          <w:p>
            <w:pPr>
              <w:jc w:val="center"/>
              <w:rPr>
                <w:rFonts w:ascii="宋体" w:hAnsi="宋体" w:eastAsia="宋体"/>
                <w:szCs w:val="21"/>
              </w:rPr>
            </w:pPr>
            <w:r>
              <w:rPr>
                <w:rFonts w:hint="eastAsia"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jc w:val="center"/>
              <w:rPr>
                <w:rFonts w:ascii="宋体" w:hAnsi="宋体" w:eastAsia="宋体"/>
                <w:szCs w:val="21"/>
              </w:rPr>
            </w:pPr>
            <w:r>
              <w:rPr>
                <w:rFonts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4761" w:type="dxa"/>
            <w:gridSpan w:val="2"/>
            <w:vMerge w:val="continue"/>
            <w:vAlign w:val="center"/>
          </w:tcPr>
          <w:p>
            <w:pPr>
              <w:rPr>
                <w:rFonts w:ascii="宋体" w:hAnsi="宋体" w:eastAsia="宋体"/>
                <w:szCs w:val="21"/>
              </w:rPr>
            </w:pPr>
          </w:p>
        </w:tc>
        <w:tc>
          <w:tcPr>
            <w:tcW w:w="838" w:type="dxa"/>
            <w:vAlign w:val="center"/>
          </w:tcPr>
          <w:p>
            <w:pPr>
              <w:jc w:val="center"/>
              <w:rPr>
                <w:rFonts w:ascii="宋体" w:hAnsi="宋体" w:eastAsia="宋体"/>
                <w:szCs w:val="21"/>
              </w:rPr>
            </w:pPr>
            <w:r>
              <w:rPr>
                <w:rFonts w:hint="eastAsia" w:ascii="宋体" w:hAnsi="宋体" w:eastAsia="宋体"/>
                <w:szCs w:val="21"/>
              </w:rPr>
              <w:t>比例</w:t>
            </w:r>
          </w:p>
        </w:tc>
        <w:tc>
          <w:tcPr>
            <w:tcW w:w="982" w:type="dxa"/>
            <w:vAlign w:val="center"/>
          </w:tcPr>
          <w:p>
            <w:pPr>
              <w:jc w:val="center"/>
              <w:rPr>
                <w:rFonts w:ascii="宋体" w:hAnsi="宋体" w:eastAsia="宋体"/>
                <w:szCs w:val="21"/>
              </w:rPr>
            </w:pPr>
            <w:r>
              <w:rPr>
                <w:rFonts w:hint="eastAsia" w:ascii="宋体" w:hAnsi="宋体" w:eastAsia="宋体"/>
                <w:szCs w:val="21"/>
              </w:rPr>
              <w:t>%</w:t>
            </w:r>
          </w:p>
        </w:tc>
        <w:tc>
          <w:tcPr>
            <w:tcW w:w="731" w:type="dxa"/>
            <w:vAlign w:val="center"/>
          </w:tcPr>
          <w:p>
            <w:pPr>
              <w:rPr>
                <w:rFonts w:ascii="宋体" w:hAnsi="宋体" w:eastAsia="宋体"/>
                <w:szCs w:val="21"/>
              </w:rPr>
            </w:pPr>
          </w:p>
        </w:tc>
        <w:tc>
          <w:tcPr>
            <w:tcW w:w="709" w:type="dxa"/>
            <w:vAlign w:val="center"/>
          </w:tcPr>
          <w:p>
            <w:pPr>
              <w:jc w:val="center"/>
              <w:rPr>
                <w:rFonts w:ascii="宋体" w:hAnsi="宋体" w:eastAsia="宋体" w:cs="Times New Roman"/>
                <w:szCs w:val="21"/>
              </w:rPr>
            </w:pPr>
            <w:r>
              <w:rPr>
                <w:rFonts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3" w:type="dxa"/>
            <w:vMerge w:val="restart"/>
            <w:vAlign w:val="center"/>
          </w:tcPr>
          <w:p>
            <w:pPr>
              <w:jc w:val="center"/>
              <w:rPr>
                <w:rFonts w:ascii="宋体" w:hAnsi="宋体" w:eastAsia="宋体"/>
                <w:szCs w:val="21"/>
              </w:rPr>
            </w:pPr>
            <w:r>
              <w:rPr>
                <w:rFonts w:hint="eastAsia" w:ascii="宋体" w:hAnsi="宋体" w:eastAsia="宋体"/>
                <w:szCs w:val="21"/>
              </w:rPr>
              <w:t>废弃物</w:t>
            </w:r>
          </w:p>
        </w:tc>
        <w:tc>
          <w:tcPr>
            <w:tcW w:w="4761" w:type="dxa"/>
            <w:gridSpan w:val="2"/>
            <w:vAlign w:val="center"/>
          </w:tcPr>
          <w:p>
            <w:pPr>
              <w:rPr>
                <w:rFonts w:ascii="宋体" w:hAnsi="宋体" w:eastAsia="宋体"/>
                <w:szCs w:val="21"/>
              </w:rPr>
            </w:pPr>
            <w:r>
              <w:rPr>
                <w:rFonts w:hint="eastAsia" w:ascii="宋体" w:hAnsi="宋体" w:eastAsia="宋体"/>
                <w:szCs w:val="21"/>
              </w:rPr>
              <w:t>一般废弃物（可选项）</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4761" w:type="dxa"/>
            <w:gridSpan w:val="2"/>
            <w:vAlign w:val="center"/>
          </w:tcPr>
          <w:p>
            <w:pPr>
              <w:rPr>
                <w:rFonts w:ascii="宋体" w:hAnsi="宋体" w:eastAsia="宋体"/>
                <w:szCs w:val="21"/>
              </w:rPr>
            </w:pPr>
            <w:r>
              <w:rPr>
                <w:rFonts w:hint="eastAsia" w:ascii="宋体" w:hAnsi="宋体" w:eastAsia="宋体"/>
                <w:szCs w:val="21"/>
              </w:rPr>
              <w:t>电子废弃物（可选项）</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jc w:val="center"/>
              <w:rPr>
                <w:rFonts w:ascii="宋体" w:hAnsi="宋体" w:eastAsia="宋体"/>
                <w:szCs w:val="21"/>
              </w:rPr>
            </w:pPr>
            <w:r>
              <w:rPr>
                <w:rFonts w:hint="eastAsia" w:ascii="宋体" w:hAnsi="宋体" w:eastAsia="宋体"/>
                <w:szCs w:val="21"/>
              </w:rPr>
              <w:t>温室气体排放</w:t>
            </w:r>
          </w:p>
        </w:tc>
        <w:tc>
          <w:tcPr>
            <w:tcW w:w="1647" w:type="dxa"/>
            <w:vMerge w:val="restart"/>
            <w:vAlign w:val="center"/>
          </w:tcPr>
          <w:p>
            <w:pPr>
              <w:jc w:val="center"/>
              <w:rPr>
                <w:rFonts w:ascii="宋体" w:hAnsi="宋体" w:eastAsia="宋体"/>
                <w:szCs w:val="21"/>
              </w:rPr>
            </w:pPr>
            <w:r>
              <w:rPr>
                <w:rFonts w:hint="eastAsia" w:ascii="宋体" w:hAnsi="宋体" w:eastAsia="宋体"/>
                <w:szCs w:val="21"/>
              </w:rPr>
              <w:t>范围一</w:t>
            </w:r>
          </w:p>
          <w:p>
            <w:pPr>
              <w:jc w:val="center"/>
              <w:rPr>
                <w:rFonts w:ascii="宋体" w:hAnsi="宋体" w:eastAsia="宋体"/>
                <w:szCs w:val="21"/>
              </w:rPr>
            </w:pPr>
            <w:r>
              <w:rPr>
                <w:rFonts w:hint="eastAsia" w:ascii="宋体" w:hAnsi="宋体" w:eastAsia="宋体"/>
                <w:szCs w:val="21"/>
              </w:rPr>
              <w:t>（仅包含</w:t>
            </w:r>
            <w:r>
              <w:rPr>
                <w:rFonts w:ascii="宋体" w:hAnsi="宋体" w:eastAsia="宋体"/>
                <w:szCs w:val="21"/>
              </w:rPr>
              <w:t>CO</w:t>
            </w:r>
            <w:r>
              <w:rPr>
                <w:rFonts w:ascii="宋体" w:hAnsi="宋体" w:eastAsia="宋体"/>
                <w:szCs w:val="21"/>
                <w:vertAlign w:val="subscript"/>
              </w:rPr>
              <w:t>2</w:t>
            </w:r>
            <w:r>
              <w:rPr>
                <w:rFonts w:hint="eastAsia" w:ascii="宋体" w:hAnsi="宋体" w:eastAsia="宋体"/>
                <w:szCs w:val="21"/>
              </w:rPr>
              <w:t>）</w:t>
            </w:r>
          </w:p>
        </w:tc>
        <w:tc>
          <w:tcPr>
            <w:tcW w:w="3114" w:type="dxa"/>
            <w:vAlign w:val="center"/>
          </w:tcPr>
          <w:p>
            <w:pPr>
              <w:rPr>
                <w:rFonts w:ascii="宋体" w:hAnsi="宋体" w:eastAsia="宋体"/>
                <w:szCs w:val="21"/>
              </w:rPr>
            </w:pPr>
            <w:r>
              <w:rPr>
                <w:rFonts w:hint="eastAsia" w:ascii="宋体" w:hAnsi="宋体" w:eastAsia="宋体"/>
                <w:szCs w:val="21"/>
              </w:rPr>
              <w:t>营业办公所消耗的</w:t>
            </w:r>
            <w:r>
              <w:rPr>
                <w:rFonts w:ascii="宋体" w:hAnsi="宋体" w:eastAsia="宋体"/>
                <w:szCs w:val="21"/>
              </w:rPr>
              <w:t>化石能源</w:t>
            </w:r>
            <w:r>
              <w:rPr>
                <w:rFonts w:hint="eastAsia" w:ascii="宋体" w:hAnsi="宋体" w:eastAsia="宋体"/>
                <w:szCs w:val="21"/>
              </w:rPr>
              <w:t>产生的碳排放</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1647" w:type="dxa"/>
            <w:vMerge w:val="continue"/>
            <w:vAlign w:val="center"/>
          </w:tcPr>
          <w:p>
            <w:pPr>
              <w:jc w:val="center"/>
              <w:rPr>
                <w:rFonts w:ascii="宋体" w:hAnsi="宋体" w:eastAsia="宋体"/>
                <w:szCs w:val="21"/>
              </w:rPr>
            </w:pPr>
          </w:p>
        </w:tc>
        <w:tc>
          <w:tcPr>
            <w:tcW w:w="3114" w:type="dxa"/>
            <w:vAlign w:val="center"/>
          </w:tcPr>
          <w:p>
            <w:pPr>
              <w:rPr>
                <w:rFonts w:ascii="宋体" w:hAnsi="宋体" w:eastAsia="宋体"/>
                <w:szCs w:val="21"/>
              </w:rPr>
            </w:pPr>
            <w:r>
              <w:rPr>
                <w:rFonts w:hint="eastAsia" w:ascii="宋体" w:hAnsi="宋体" w:eastAsia="宋体"/>
                <w:szCs w:val="21"/>
              </w:rPr>
              <w:t>自有交通运输工具燃油消耗产生的碳排放</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1647" w:type="dxa"/>
            <w:vMerge w:val="continue"/>
            <w:vAlign w:val="center"/>
          </w:tcPr>
          <w:p>
            <w:pPr>
              <w:jc w:val="center"/>
              <w:rPr>
                <w:rFonts w:ascii="宋体" w:hAnsi="宋体" w:eastAsia="宋体"/>
                <w:szCs w:val="21"/>
              </w:rPr>
            </w:pPr>
          </w:p>
        </w:tc>
        <w:tc>
          <w:tcPr>
            <w:tcW w:w="3114" w:type="dxa"/>
            <w:vAlign w:val="center"/>
          </w:tcPr>
          <w:p>
            <w:pPr>
              <w:rPr>
                <w:rFonts w:ascii="宋体" w:hAnsi="宋体" w:eastAsia="宋体"/>
                <w:szCs w:val="21"/>
              </w:rPr>
            </w:pPr>
            <w:r>
              <w:rPr>
                <w:rFonts w:hint="eastAsia" w:ascii="宋体" w:hAnsi="宋体" w:eastAsia="宋体"/>
                <w:szCs w:val="21"/>
              </w:rPr>
              <w:t>自有采暖（制冷）设备燃料消耗产生的碳排放（如有）</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1647" w:type="dxa"/>
            <w:vMerge w:val="restart"/>
            <w:vAlign w:val="center"/>
          </w:tcPr>
          <w:p>
            <w:pPr>
              <w:jc w:val="center"/>
              <w:rPr>
                <w:rFonts w:ascii="宋体" w:hAnsi="宋体" w:eastAsia="宋体"/>
                <w:szCs w:val="21"/>
              </w:rPr>
            </w:pPr>
            <w:r>
              <w:rPr>
                <w:rFonts w:hint="eastAsia" w:ascii="宋体" w:hAnsi="宋体" w:eastAsia="宋体"/>
                <w:szCs w:val="21"/>
              </w:rPr>
              <w:t>范围二</w:t>
            </w:r>
          </w:p>
          <w:p>
            <w:pPr>
              <w:jc w:val="center"/>
              <w:rPr>
                <w:rFonts w:ascii="宋体" w:hAnsi="宋体" w:eastAsia="宋体"/>
                <w:szCs w:val="21"/>
              </w:rPr>
            </w:pPr>
            <w:r>
              <w:rPr>
                <w:rFonts w:hint="eastAsia" w:ascii="宋体" w:hAnsi="宋体" w:eastAsia="宋体"/>
                <w:szCs w:val="21"/>
              </w:rPr>
              <w:t>（仅包含</w:t>
            </w:r>
            <w:r>
              <w:rPr>
                <w:rFonts w:ascii="宋体" w:hAnsi="宋体" w:eastAsia="宋体"/>
                <w:szCs w:val="21"/>
              </w:rPr>
              <w:t>CO</w:t>
            </w:r>
            <w:r>
              <w:rPr>
                <w:rFonts w:ascii="宋体" w:hAnsi="宋体" w:eastAsia="宋体"/>
                <w:szCs w:val="21"/>
                <w:vertAlign w:val="subscript"/>
              </w:rPr>
              <w:t>2</w:t>
            </w:r>
            <w:r>
              <w:rPr>
                <w:rFonts w:hint="eastAsia" w:ascii="宋体" w:hAnsi="宋体" w:eastAsia="宋体"/>
                <w:szCs w:val="21"/>
              </w:rPr>
              <w:t>）</w:t>
            </w:r>
          </w:p>
        </w:tc>
        <w:tc>
          <w:tcPr>
            <w:tcW w:w="3114" w:type="dxa"/>
            <w:vAlign w:val="center"/>
          </w:tcPr>
          <w:p>
            <w:pPr>
              <w:rPr>
                <w:rFonts w:ascii="宋体" w:hAnsi="宋体" w:eastAsia="宋体"/>
                <w:szCs w:val="21"/>
              </w:rPr>
            </w:pPr>
            <w:r>
              <w:rPr>
                <w:rFonts w:hint="eastAsia" w:ascii="宋体" w:hAnsi="宋体" w:eastAsia="宋体"/>
                <w:szCs w:val="21"/>
              </w:rPr>
              <w:t>营业办公所消耗的电力产生的碳排放</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1647" w:type="dxa"/>
            <w:vMerge w:val="continue"/>
            <w:vAlign w:val="center"/>
          </w:tcPr>
          <w:p>
            <w:pPr>
              <w:jc w:val="center"/>
              <w:rPr>
                <w:rFonts w:ascii="宋体" w:hAnsi="宋体" w:eastAsia="宋体"/>
                <w:szCs w:val="21"/>
              </w:rPr>
            </w:pPr>
          </w:p>
        </w:tc>
        <w:tc>
          <w:tcPr>
            <w:tcW w:w="3114" w:type="dxa"/>
            <w:vAlign w:val="center"/>
          </w:tcPr>
          <w:p>
            <w:pPr>
              <w:rPr>
                <w:rFonts w:ascii="宋体" w:hAnsi="宋体" w:eastAsia="宋体"/>
                <w:szCs w:val="21"/>
              </w:rPr>
            </w:pPr>
            <w:r>
              <w:rPr>
                <w:rFonts w:hint="eastAsia" w:ascii="宋体" w:hAnsi="宋体" w:eastAsia="宋体"/>
                <w:szCs w:val="21"/>
              </w:rPr>
              <w:t>购买的采暖（制冷）服务燃料消耗产生的碳排放（如有）</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1647" w:type="dxa"/>
            <w:vMerge w:val="restart"/>
            <w:vAlign w:val="center"/>
          </w:tcPr>
          <w:p>
            <w:pPr>
              <w:jc w:val="center"/>
              <w:rPr>
                <w:rFonts w:ascii="宋体" w:hAnsi="宋体" w:eastAsia="宋体"/>
                <w:szCs w:val="21"/>
              </w:rPr>
            </w:pPr>
            <w:r>
              <w:rPr>
                <w:rFonts w:hint="eastAsia" w:ascii="宋体" w:hAnsi="宋体" w:eastAsia="宋体"/>
                <w:szCs w:val="21"/>
              </w:rPr>
              <w:t>范围三</w:t>
            </w:r>
          </w:p>
          <w:p>
            <w:pPr>
              <w:jc w:val="center"/>
              <w:rPr>
                <w:rFonts w:ascii="宋体" w:hAnsi="宋体" w:eastAsia="宋体"/>
                <w:szCs w:val="21"/>
              </w:rPr>
            </w:pPr>
            <w:r>
              <w:rPr>
                <w:rFonts w:hint="eastAsia" w:ascii="宋体" w:hAnsi="宋体" w:eastAsia="宋体"/>
                <w:szCs w:val="21"/>
              </w:rPr>
              <w:t>（仅包含</w:t>
            </w:r>
            <w:r>
              <w:rPr>
                <w:rFonts w:ascii="宋体" w:hAnsi="宋体" w:eastAsia="宋体"/>
                <w:szCs w:val="21"/>
              </w:rPr>
              <w:t>CO</w:t>
            </w:r>
            <w:r>
              <w:rPr>
                <w:rFonts w:ascii="宋体" w:hAnsi="宋体" w:eastAsia="宋体"/>
                <w:szCs w:val="21"/>
                <w:vertAlign w:val="subscript"/>
              </w:rPr>
              <w:t>2</w:t>
            </w:r>
            <w:r>
              <w:rPr>
                <w:rFonts w:hint="eastAsia" w:ascii="宋体" w:hAnsi="宋体" w:eastAsia="宋体"/>
                <w:szCs w:val="21"/>
              </w:rPr>
              <w:t>）</w:t>
            </w:r>
          </w:p>
        </w:tc>
        <w:tc>
          <w:tcPr>
            <w:tcW w:w="3114" w:type="dxa"/>
            <w:vAlign w:val="center"/>
          </w:tcPr>
          <w:p>
            <w:pPr>
              <w:rPr>
                <w:rFonts w:ascii="宋体" w:hAnsi="宋体" w:eastAsia="宋体"/>
                <w:szCs w:val="21"/>
              </w:rPr>
            </w:pPr>
            <w:r>
              <w:rPr>
                <w:rFonts w:hint="eastAsia" w:ascii="宋体" w:hAnsi="宋体" w:eastAsia="宋体"/>
                <w:szCs w:val="21"/>
              </w:rPr>
              <w:t>雇员差旅乘坐交通工具产生的碳排放</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1647" w:type="dxa"/>
            <w:vMerge w:val="continue"/>
            <w:vAlign w:val="center"/>
          </w:tcPr>
          <w:p>
            <w:pPr>
              <w:jc w:val="center"/>
              <w:rPr>
                <w:rFonts w:ascii="宋体" w:hAnsi="宋体" w:eastAsia="宋体"/>
                <w:szCs w:val="21"/>
              </w:rPr>
            </w:pPr>
          </w:p>
        </w:tc>
        <w:tc>
          <w:tcPr>
            <w:tcW w:w="3114" w:type="dxa"/>
            <w:vAlign w:val="center"/>
          </w:tcPr>
          <w:p>
            <w:pPr>
              <w:rPr>
                <w:rFonts w:ascii="宋体" w:hAnsi="宋体" w:eastAsia="宋体"/>
                <w:szCs w:val="21"/>
              </w:rPr>
            </w:pPr>
            <w:r>
              <w:rPr>
                <w:rFonts w:hint="eastAsia" w:ascii="宋体" w:hAnsi="宋体" w:eastAsia="宋体"/>
                <w:szCs w:val="21"/>
              </w:rPr>
              <w:t>雇员差旅住宿产生的碳排放</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1647" w:type="dxa"/>
            <w:vMerge w:val="continue"/>
            <w:vAlign w:val="center"/>
          </w:tcPr>
          <w:p>
            <w:pPr>
              <w:jc w:val="center"/>
              <w:rPr>
                <w:rFonts w:ascii="宋体" w:hAnsi="宋体" w:eastAsia="宋体"/>
                <w:szCs w:val="21"/>
              </w:rPr>
            </w:pPr>
          </w:p>
        </w:tc>
        <w:tc>
          <w:tcPr>
            <w:tcW w:w="3114" w:type="dxa"/>
            <w:vAlign w:val="center"/>
          </w:tcPr>
          <w:p>
            <w:pPr>
              <w:rPr>
                <w:rFonts w:ascii="宋体" w:hAnsi="宋体" w:eastAsia="宋体"/>
                <w:szCs w:val="21"/>
              </w:rPr>
            </w:pPr>
            <w:r>
              <w:rPr>
                <w:rFonts w:hint="eastAsia" w:ascii="宋体" w:hAnsi="宋体" w:eastAsia="宋体"/>
                <w:szCs w:val="21"/>
              </w:rPr>
              <w:t>营业办公水消耗产生的碳排放（可选项）</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1647" w:type="dxa"/>
            <w:vMerge w:val="continue"/>
            <w:vAlign w:val="center"/>
          </w:tcPr>
          <w:p>
            <w:pPr>
              <w:jc w:val="center"/>
              <w:rPr>
                <w:rFonts w:ascii="宋体" w:hAnsi="宋体" w:eastAsia="宋体"/>
                <w:szCs w:val="21"/>
              </w:rPr>
            </w:pPr>
          </w:p>
        </w:tc>
        <w:tc>
          <w:tcPr>
            <w:tcW w:w="3114" w:type="dxa"/>
            <w:vAlign w:val="center"/>
          </w:tcPr>
          <w:p>
            <w:pPr>
              <w:rPr>
                <w:rFonts w:ascii="宋体" w:hAnsi="宋体" w:eastAsia="宋体"/>
                <w:szCs w:val="21"/>
              </w:rPr>
            </w:pPr>
            <w:r>
              <w:rPr>
                <w:rFonts w:hint="eastAsia" w:ascii="宋体" w:hAnsi="宋体" w:eastAsia="宋体"/>
                <w:szCs w:val="21"/>
              </w:rPr>
              <w:t>营业办公纸张消耗产生的碳排放（可选项）</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63" w:type="dxa"/>
            <w:vMerge w:val="continue"/>
            <w:vAlign w:val="center"/>
          </w:tcPr>
          <w:p>
            <w:pPr>
              <w:jc w:val="center"/>
              <w:rPr>
                <w:rFonts w:ascii="宋体" w:hAnsi="宋体" w:eastAsia="宋体"/>
                <w:szCs w:val="21"/>
              </w:rPr>
            </w:pPr>
          </w:p>
        </w:tc>
        <w:tc>
          <w:tcPr>
            <w:tcW w:w="1647" w:type="dxa"/>
            <w:vMerge w:val="continue"/>
            <w:vAlign w:val="center"/>
          </w:tcPr>
          <w:p>
            <w:pPr>
              <w:jc w:val="center"/>
              <w:rPr>
                <w:rFonts w:ascii="宋体" w:hAnsi="宋体" w:eastAsia="宋体"/>
                <w:szCs w:val="21"/>
              </w:rPr>
            </w:pPr>
          </w:p>
        </w:tc>
        <w:tc>
          <w:tcPr>
            <w:tcW w:w="3114" w:type="dxa"/>
            <w:vAlign w:val="center"/>
          </w:tcPr>
          <w:p>
            <w:pPr>
              <w:rPr>
                <w:rFonts w:ascii="宋体" w:hAnsi="宋体" w:eastAsia="宋体"/>
                <w:szCs w:val="21"/>
              </w:rPr>
            </w:pPr>
            <w:r>
              <w:rPr>
                <w:rFonts w:hint="eastAsia" w:ascii="宋体" w:hAnsi="宋体" w:eastAsia="宋体"/>
                <w:szCs w:val="21"/>
              </w:rPr>
              <w:t>废弃物（废水）处置产生的碳排放（可选项）</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3" w:type="dxa"/>
            <w:vMerge w:val="continue"/>
            <w:vAlign w:val="center"/>
          </w:tcPr>
          <w:p>
            <w:pPr>
              <w:jc w:val="center"/>
              <w:rPr>
                <w:rFonts w:ascii="宋体" w:hAnsi="宋体" w:eastAsia="宋体"/>
                <w:szCs w:val="21"/>
              </w:rPr>
            </w:pPr>
          </w:p>
        </w:tc>
        <w:tc>
          <w:tcPr>
            <w:tcW w:w="1647" w:type="dxa"/>
            <w:vMerge w:val="restart"/>
            <w:vAlign w:val="center"/>
          </w:tcPr>
          <w:p>
            <w:pPr>
              <w:jc w:val="center"/>
              <w:rPr>
                <w:rFonts w:ascii="宋体" w:hAnsi="宋体" w:eastAsia="宋体"/>
                <w:szCs w:val="21"/>
              </w:rPr>
            </w:pPr>
            <w:r>
              <w:rPr>
                <w:rFonts w:hint="eastAsia" w:ascii="宋体" w:hAnsi="宋体" w:eastAsia="宋体"/>
                <w:szCs w:val="21"/>
              </w:rPr>
              <w:t>温室气体排放总量</w:t>
            </w:r>
          </w:p>
        </w:tc>
        <w:tc>
          <w:tcPr>
            <w:tcW w:w="3114" w:type="dxa"/>
            <w:vAlign w:val="center"/>
          </w:tcPr>
          <w:p>
            <w:pPr>
              <w:rPr>
                <w:rFonts w:ascii="宋体" w:hAnsi="宋体" w:eastAsia="宋体"/>
                <w:szCs w:val="21"/>
              </w:rPr>
            </w:pPr>
            <w:r>
              <w:rPr>
                <w:rFonts w:hint="eastAsia" w:ascii="宋体" w:hAnsi="宋体" w:eastAsia="宋体"/>
                <w:szCs w:val="21"/>
              </w:rPr>
              <w:t>二氧化碳排放总量及强度</w:t>
            </w:r>
          </w:p>
        </w:tc>
        <w:tc>
          <w:tcPr>
            <w:tcW w:w="838" w:type="dxa"/>
            <w:vAlign w:val="center"/>
          </w:tcPr>
          <w:p>
            <w:pPr>
              <w:jc w:val="center"/>
              <w:rPr>
                <w:rFonts w:ascii="宋体" w:hAnsi="宋体" w:eastAsia="宋体"/>
                <w:szCs w:val="21"/>
              </w:rPr>
            </w:pPr>
            <w:r>
              <w:rPr>
                <w:rFonts w:hint="eastAsia" w:ascii="宋体" w:hAnsi="宋体" w:eastAsia="宋体"/>
                <w:szCs w:val="21"/>
              </w:rPr>
              <w:t>-</w:t>
            </w:r>
          </w:p>
        </w:tc>
        <w:tc>
          <w:tcPr>
            <w:tcW w:w="982" w:type="dxa"/>
            <w:vAlign w:val="center"/>
          </w:tcPr>
          <w:p>
            <w:pPr>
              <w:jc w:val="center"/>
              <w:rPr>
                <w:rFonts w:ascii="宋体" w:hAnsi="宋体" w:eastAsia="宋体"/>
                <w:szCs w:val="21"/>
              </w:rPr>
            </w:pPr>
            <w:r>
              <w:rPr>
                <w:rFonts w:hint="eastAsia" w:ascii="宋体" w:hAnsi="宋体" w:eastAsia="宋体"/>
                <w:szCs w:val="21"/>
              </w:rPr>
              <w:t>吨</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3" w:type="dxa"/>
            <w:vMerge w:val="continue"/>
            <w:vAlign w:val="center"/>
          </w:tcPr>
          <w:p>
            <w:pPr>
              <w:jc w:val="center"/>
              <w:rPr>
                <w:rFonts w:ascii="宋体" w:hAnsi="宋体" w:eastAsia="宋体"/>
                <w:szCs w:val="21"/>
              </w:rPr>
            </w:pPr>
          </w:p>
        </w:tc>
        <w:tc>
          <w:tcPr>
            <w:tcW w:w="1647" w:type="dxa"/>
            <w:vMerge w:val="continue"/>
            <w:vAlign w:val="center"/>
          </w:tcPr>
          <w:p>
            <w:pPr>
              <w:jc w:val="center"/>
              <w:rPr>
                <w:rFonts w:ascii="宋体" w:hAnsi="宋体" w:eastAsia="宋体"/>
                <w:szCs w:val="21"/>
              </w:rPr>
            </w:pPr>
          </w:p>
        </w:tc>
        <w:tc>
          <w:tcPr>
            <w:tcW w:w="3114" w:type="dxa"/>
            <w:vAlign w:val="center"/>
          </w:tcPr>
          <w:p>
            <w:pPr>
              <w:rPr>
                <w:rFonts w:ascii="宋体" w:hAnsi="宋体" w:eastAsia="宋体"/>
                <w:szCs w:val="21"/>
              </w:rPr>
            </w:pPr>
            <w:r>
              <w:rPr>
                <w:rFonts w:hint="eastAsia" w:ascii="宋体" w:hAnsi="宋体" w:eastAsia="宋体"/>
                <w:szCs w:val="21"/>
              </w:rPr>
              <w:t>除二氧化碳外的其他温室气体排放总量及强度（可选项）</w:t>
            </w:r>
          </w:p>
        </w:tc>
        <w:tc>
          <w:tcPr>
            <w:tcW w:w="838" w:type="dxa"/>
            <w:vAlign w:val="center"/>
          </w:tcPr>
          <w:p>
            <w:pPr>
              <w:jc w:val="center"/>
              <w:rPr>
                <w:rFonts w:ascii="宋体" w:hAnsi="宋体" w:eastAsia="宋体"/>
                <w:szCs w:val="21"/>
              </w:rPr>
            </w:pPr>
            <w:r>
              <w:rPr>
                <w:rFonts w:hint="eastAsia" w:ascii="宋体" w:hAnsi="宋体" w:eastAsia="宋体"/>
                <w:szCs w:val="21"/>
              </w:rPr>
              <w:t>注明温室气体类别</w:t>
            </w:r>
          </w:p>
        </w:tc>
        <w:tc>
          <w:tcPr>
            <w:tcW w:w="982" w:type="dxa"/>
            <w:vAlign w:val="center"/>
          </w:tcPr>
          <w:p>
            <w:pPr>
              <w:jc w:val="center"/>
              <w:rPr>
                <w:rFonts w:ascii="宋体" w:hAnsi="宋体" w:eastAsia="宋体"/>
                <w:szCs w:val="21"/>
              </w:rPr>
            </w:pPr>
            <w:r>
              <w:rPr>
                <w:rFonts w:hint="eastAsia" w:ascii="宋体" w:hAnsi="宋体" w:eastAsia="宋体"/>
                <w:szCs w:val="21"/>
              </w:rPr>
              <w:t>吨</w:t>
            </w:r>
            <w:r>
              <w:rPr>
                <w:rFonts w:ascii="宋体" w:hAnsi="宋体" w:eastAsia="宋体"/>
                <w:szCs w:val="21"/>
              </w:rPr>
              <w:t>CO</w:t>
            </w:r>
            <w:r>
              <w:rPr>
                <w:rFonts w:ascii="宋体" w:hAnsi="宋体" w:eastAsia="宋体"/>
                <w:szCs w:val="21"/>
                <w:vertAlign w:val="subscript"/>
              </w:rPr>
              <w:t>2</w:t>
            </w:r>
            <w:r>
              <w:rPr>
                <w:rFonts w:ascii="宋体" w:hAnsi="宋体" w:eastAsia="宋体"/>
                <w:szCs w:val="21"/>
              </w:rPr>
              <w:t>e</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jc w:val="center"/>
              <w:rPr>
                <w:rFonts w:ascii="宋体" w:hAnsi="宋体" w:eastAsia="宋体"/>
                <w:szCs w:val="21"/>
              </w:rPr>
            </w:pPr>
            <w:r>
              <w:rPr>
                <w:rFonts w:hint="eastAsia" w:ascii="宋体" w:hAnsi="宋体" w:eastAsia="宋体"/>
                <w:szCs w:val="21"/>
              </w:rPr>
              <w:t>碳排放抵消</w:t>
            </w:r>
          </w:p>
        </w:tc>
        <w:tc>
          <w:tcPr>
            <w:tcW w:w="1647" w:type="dxa"/>
            <w:vMerge w:val="restart"/>
            <w:vAlign w:val="center"/>
          </w:tcPr>
          <w:p>
            <w:pPr>
              <w:rPr>
                <w:rFonts w:ascii="宋体" w:hAnsi="宋体" w:eastAsia="宋体"/>
                <w:szCs w:val="21"/>
              </w:rPr>
            </w:pPr>
            <w:r>
              <w:rPr>
                <w:rFonts w:hint="eastAsia" w:ascii="宋体" w:hAnsi="宋体" w:eastAsia="宋体"/>
                <w:szCs w:val="21"/>
              </w:rPr>
              <w:t>购买或投资开发的在披露责任主体核算边界以外的碳抵消项目</w:t>
            </w:r>
          </w:p>
        </w:tc>
        <w:tc>
          <w:tcPr>
            <w:tcW w:w="3114" w:type="dxa"/>
            <w:vAlign w:val="center"/>
          </w:tcPr>
          <w:p>
            <w:pPr>
              <w:jc w:val="center"/>
              <w:rPr>
                <w:rFonts w:ascii="宋体" w:hAnsi="宋体" w:eastAsia="宋体"/>
                <w:szCs w:val="21"/>
              </w:rPr>
            </w:pPr>
            <w:r>
              <w:rPr>
                <w:rFonts w:hint="eastAsia" w:ascii="宋体" w:hAnsi="宋体" w:eastAsia="宋体"/>
                <w:szCs w:val="21"/>
              </w:rPr>
              <w:t>项目信息</w:t>
            </w:r>
          </w:p>
        </w:tc>
        <w:tc>
          <w:tcPr>
            <w:tcW w:w="838" w:type="dxa"/>
            <w:vAlign w:val="center"/>
          </w:tcPr>
          <w:p>
            <w:pPr>
              <w:rPr>
                <w:rFonts w:ascii="宋体" w:hAnsi="宋体" w:eastAsia="宋体"/>
                <w:szCs w:val="21"/>
              </w:rPr>
            </w:pPr>
          </w:p>
        </w:tc>
        <w:tc>
          <w:tcPr>
            <w:tcW w:w="2422" w:type="dxa"/>
            <w:gridSpan w:val="3"/>
            <w:vAlign w:val="center"/>
          </w:tcPr>
          <w:p>
            <w:pPr>
              <w:rPr>
                <w:rFonts w:ascii="宋体" w:hAnsi="宋体" w:eastAsia="宋体"/>
                <w:szCs w:val="21"/>
              </w:rPr>
            </w:pPr>
            <w:r>
              <w:rPr>
                <w:rFonts w:hint="eastAsia" w:ascii="宋体" w:hAnsi="宋体" w:eastAsia="宋体"/>
                <w:szCs w:val="21"/>
              </w:rPr>
              <w:t>项目名称及类别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jc w:val="center"/>
              <w:rPr>
                <w:rFonts w:ascii="宋体" w:hAnsi="宋体" w:eastAsia="宋体"/>
                <w:szCs w:val="21"/>
              </w:rPr>
            </w:pPr>
          </w:p>
        </w:tc>
        <w:tc>
          <w:tcPr>
            <w:tcW w:w="1647" w:type="dxa"/>
            <w:vMerge w:val="continue"/>
            <w:vAlign w:val="center"/>
          </w:tcPr>
          <w:p>
            <w:pPr>
              <w:rPr>
                <w:rFonts w:ascii="宋体" w:hAnsi="宋体" w:eastAsia="宋体"/>
                <w:szCs w:val="21"/>
              </w:rPr>
            </w:pPr>
          </w:p>
        </w:tc>
        <w:tc>
          <w:tcPr>
            <w:tcW w:w="3114" w:type="dxa"/>
            <w:vAlign w:val="center"/>
          </w:tcPr>
          <w:p>
            <w:pPr>
              <w:jc w:val="center"/>
              <w:rPr>
                <w:rFonts w:ascii="宋体" w:hAnsi="宋体" w:eastAsia="宋体"/>
                <w:szCs w:val="21"/>
              </w:rPr>
            </w:pPr>
            <w:r>
              <w:rPr>
                <w:rFonts w:hint="eastAsia" w:ascii="宋体" w:hAnsi="宋体" w:eastAsia="宋体"/>
                <w:szCs w:val="21"/>
              </w:rPr>
              <w:t>减排量</w:t>
            </w:r>
          </w:p>
        </w:tc>
        <w:tc>
          <w:tcPr>
            <w:tcW w:w="838" w:type="dxa"/>
            <w:vAlign w:val="center"/>
          </w:tcPr>
          <w:p>
            <w:pPr>
              <w:jc w:val="center"/>
              <w:rPr>
                <w:rFonts w:ascii="宋体" w:hAnsi="宋体" w:eastAsia="宋体"/>
                <w:szCs w:val="21"/>
              </w:rPr>
            </w:pPr>
          </w:p>
        </w:tc>
        <w:tc>
          <w:tcPr>
            <w:tcW w:w="982" w:type="dxa"/>
            <w:vAlign w:val="center"/>
          </w:tcPr>
          <w:p>
            <w:pPr>
              <w:jc w:val="center"/>
              <w:rPr>
                <w:rFonts w:ascii="宋体" w:hAnsi="宋体" w:eastAsia="宋体"/>
                <w:szCs w:val="21"/>
              </w:rPr>
            </w:pPr>
            <w:r>
              <w:rPr>
                <w:rFonts w:hint="eastAsia" w:ascii="宋体" w:hAnsi="宋体" w:eastAsia="宋体"/>
                <w:szCs w:val="21"/>
              </w:rPr>
              <w:t>吨</w:t>
            </w:r>
            <w:r>
              <w:rPr>
                <w:rFonts w:ascii="宋体" w:hAnsi="宋体" w:eastAsia="宋体"/>
                <w:szCs w:val="21"/>
              </w:rPr>
              <w:t>CO</w:t>
            </w:r>
            <w:r>
              <w:rPr>
                <w:rFonts w:ascii="宋体" w:hAnsi="宋体" w:eastAsia="宋体"/>
                <w:szCs w:val="21"/>
                <w:vertAlign w:val="subscript"/>
              </w:rPr>
              <w:t>2</w:t>
            </w:r>
            <w:r>
              <w:rPr>
                <w:rFonts w:ascii="宋体" w:hAnsi="宋体" w:eastAsia="宋体"/>
                <w:szCs w:val="21"/>
              </w:rPr>
              <w:t>e</w:t>
            </w:r>
          </w:p>
        </w:tc>
        <w:tc>
          <w:tcPr>
            <w:tcW w:w="731" w:type="dxa"/>
            <w:vAlign w:val="center"/>
          </w:tcPr>
          <w:p>
            <w:pPr>
              <w:rPr>
                <w:rFonts w:ascii="宋体" w:hAnsi="宋体" w:eastAsia="宋体"/>
                <w:szCs w:val="21"/>
              </w:rPr>
            </w:pPr>
          </w:p>
        </w:tc>
        <w:tc>
          <w:tcPr>
            <w:tcW w:w="709" w:type="dxa"/>
            <w:vAlign w:val="center"/>
          </w:tcPr>
          <w:p>
            <w:pPr>
              <w:rPr>
                <w:rFonts w:ascii="宋体" w:hAnsi="宋体" w:eastAsia="宋体" w:cs="Times New Roman"/>
                <w:szCs w:val="21"/>
              </w:rPr>
            </w:pPr>
            <w:r>
              <w:rPr>
                <w:rFonts w:ascii="宋体" w:hAnsi="宋体" w:eastAsia="宋体" w:cs="Times New Roman"/>
                <w:szCs w:val="21"/>
              </w:rPr>
              <w:t>/</w:t>
            </w:r>
          </w:p>
        </w:tc>
      </w:tr>
    </w:tbl>
    <w:p>
      <w:pPr>
        <w:spacing w:line="360" w:lineRule="auto"/>
        <w:jc w:val="left"/>
        <w:rPr>
          <w:rFonts w:ascii="Times New Roman" w:hAnsi="Times New Roman" w:eastAsia="仿宋_GB2312" w:cs="Times New Roman"/>
          <w:b/>
          <w:bCs/>
          <w:sz w:val="32"/>
          <w:szCs w:val="32"/>
        </w:rPr>
      </w:pPr>
      <w:r>
        <w:rPr>
          <w:rFonts w:ascii="黑体" w:hAnsi="黑体" w:eastAsia="黑体" w:cs="Times New Roman"/>
          <w:sz w:val="22"/>
          <w:szCs w:val="32"/>
        </w:rPr>
        <w:t>注</w:t>
      </w:r>
      <w:r>
        <w:rPr>
          <w:rFonts w:hint="eastAsia" w:ascii="黑体" w:hAnsi="黑体" w:eastAsia="黑体" w:cs="Times New Roman"/>
          <w:sz w:val="22"/>
          <w:szCs w:val="32"/>
        </w:rPr>
        <w:t>：</w:t>
      </w:r>
      <w:r>
        <w:rPr>
          <w:rFonts w:ascii="黑体" w:hAnsi="黑体" w:eastAsia="黑体" w:cs="Times New Roman"/>
          <w:sz w:val="22"/>
          <w:szCs w:val="32"/>
        </w:rPr>
        <w:t>金融机构可依据自身业务开展情况增加披露内容</w:t>
      </w:r>
    </w:p>
    <w:p>
      <w:pPr>
        <w:spacing w:line="360" w:lineRule="auto"/>
        <w:jc w:val="center"/>
        <w:rPr>
          <w:rFonts w:ascii="黑体" w:hAnsi="黑体" w:eastAsia="黑体" w:cs="Times New Roman"/>
          <w:bCs/>
          <w:sz w:val="28"/>
          <w:szCs w:val="32"/>
        </w:rPr>
      </w:pPr>
      <w:r>
        <w:rPr>
          <w:rFonts w:hint="eastAsia" w:ascii="黑体" w:hAnsi="黑体" w:eastAsia="黑体" w:cs="Times New Roman"/>
          <w:bCs/>
          <w:sz w:val="28"/>
          <w:szCs w:val="32"/>
        </w:rPr>
        <w:t>表1</w:t>
      </w:r>
      <w:r>
        <w:rPr>
          <w:rFonts w:ascii="黑体" w:hAnsi="黑体" w:eastAsia="黑体" w:cs="Times New Roman"/>
          <w:bCs/>
          <w:sz w:val="28"/>
          <w:szCs w:val="32"/>
        </w:rPr>
        <w:t>.2</w:t>
      </w:r>
      <w:r>
        <w:rPr>
          <w:rFonts w:hint="eastAsia" w:ascii="黑体" w:hAnsi="黑体" w:eastAsia="黑体" w:cs="Times New Roman"/>
          <w:bCs/>
          <w:sz w:val="28"/>
          <w:szCs w:val="32"/>
        </w:rPr>
        <w:t xml:space="preserve"> 绿色投融资业务开展情况定量指标</w:t>
      </w:r>
    </w:p>
    <w:tbl>
      <w:tblPr>
        <w:tblStyle w:val="9"/>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1701"/>
        <w:gridCol w:w="1275"/>
        <w:gridCol w:w="156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指标</w:t>
            </w:r>
          </w:p>
        </w:tc>
        <w:tc>
          <w:tcPr>
            <w:tcW w:w="1701"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余额/业务规模</w:t>
            </w:r>
          </w:p>
          <w:p>
            <w:pPr>
              <w:jc w:val="center"/>
              <w:rPr>
                <w:rFonts w:ascii="宋体" w:hAnsi="宋体" w:eastAsia="宋体" w:cs="Times New Roman"/>
                <w:b/>
                <w:bCs/>
                <w:szCs w:val="21"/>
              </w:rPr>
            </w:pPr>
            <w:r>
              <w:rPr>
                <w:rFonts w:hint="eastAsia" w:ascii="宋体" w:hAnsi="宋体" w:eastAsia="宋体" w:cs="Times New Roman"/>
                <w:b/>
                <w:bCs/>
                <w:szCs w:val="21"/>
              </w:rPr>
              <w:t>（万元）</w:t>
            </w:r>
          </w:p>
        </w:tc>
        <w:tc>
          <w:tcPr>
            <w:tcW w:w="1275"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同比变动</w:t>
            </w:r>
          </w:p>
          <w:p>
            <w:pPr>
              <w:jc w:val="center"/>
              <w:rPr>
                <w:rFonts w:ascii="宋体" w:hAnsi="宋体" w:eastAsia="宋体" w:cs="Times New Roman"/>
                <w:b/>
                <w:bCs/>
                <w:szCs w:val="21"/>
              </w:rPr>
            </w:pPr>
            <w:r>
              <w:rPr>
                <w:rFonts w:hint="eastAsia" w:ascii="宋体" w:hAnsi="宋体" w:eastAsia="宋体" w:cs="Times New Roman"/>
                <w:b/>
                <w:bCs/>
                <w:szCs w:val="21"/>
              </w:rPr>
              <w:t>（%）</w:t>
            </w:r>
          </w:p>
        </w:tc>
        <w:tc>
          <w:tcPr>
            <w:tcW w:w="1560"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同类业务占比</w:t>
            </w:r>
          </w:p>
          <w:p>
            <w:pPr>
              <w:jc w:val="center"/>
              <w:rPr>
                <w:rFonts w:ascii="宋体" w:hAnsi="宋体" w:eastAsia="宋体" w:cs="Times New Roman"/>
                <w:b/>
                <w:bCs/>
                <w:szCs w:val="21"/>
              </w:rPr>
            </w:pPr>
            <w:r>
              <w:rPr>
                <w:rFonts w:hint="eastAsia" w:ascii="宋体" w:hAnsi="宋体" w:eastAsia="宋体" w:cs="Times New Roman"/>
                <w:b/>
                <w:bCs/>
                <w:szCs w:val="21"/>
              </w:rPr>
              <w:t>（%）</w:t>
            </w:r>
          </w:p>
        </w:tc>
        <w:tc>
          <w:tcPr>
            <w:tcW w:w="1275"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违约率</w:t>
            </w:r>
          </w:p>
          <w:p>
            <w:pPr>
              <w:jc w:val="center"/>
              <w:rPr>
                <w:rFonts w:ascii="宋体" w:hAnsi="宋体" w:eastAsia="宋体" w:cs="Times New Roman"/>
                <w:b/>
                <w:bCs/>
                <w:szCs w:val="21"/>
              </w:rPr>
            </w:pP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5"/>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绿色信贷</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持有的绿色债券</w:t>
            </w:r>
          </w:p>
          <w:p>
            <w:pPr>
              <w:spacing w:line="360" w:lineRule="auto"/>
              <w:jc w:val="center"/>
              <w:rPr>
                <w:rFonts w:ascii="宋体" w:hAnsi="宋体" w:eastAsia="宋体" w:cs="Times New Roman"/>
                <w:szCs w:val="21"/>
              </w:rPr>
            </w:pPr>
            <w:r>
              <w:rPr>
                <w:rFonts w:hint="eastAsia" w:ascii="宋体" w:hAnsi="宋体" w:eastAsia="宋体" w:cs="Times New Roman"/>
                <w:szCs w:val="21"/>
              </w:rPr>
              <w:t>（贴标绿色债券）</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持有的绿色债券</w:t>
            </w:r>
          </w:p>
          <w:p>
            <w:pPr>
              <w:spacing w:line="360" w:lineRule="auto"/>
              <w:jc w:val="center"/>
              <w:rPr>
                <w:rFonts w:ascii="宋体" w:hAnsi="宋体" w:eastAsia="宋体" w:cs="Times New Roman"/>
                <w:szCs w:val="21"/>
              </w:rPr>
            </w:pPr>
            <w:r>
              <w:rPr>
                <w:rFonts w:hint="eastAsia" w:ascii="宋体" w:hAnsi="宋体" w:eastAsia="宋体" w:cs="Times New Roman"/>
                <w:szCs w:val="21"/>
              </w:rPr>
              <w:t>（未贴标的“投向绿”债券）（可选项）</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棕色资产（可选项）</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其他绿色投融资产品</w:t>
            </w:r>
          </w:p>
          <w:p>
            <w:pPr>
              <w:spacing w:line="360" w:lineRule="auto"/>
              <w:jc w:val="center"/>
              <w:rPr>
                <w:rFonts w:ascii="宋体" w:hAnsi="宋体" w:eastAsia="宋体" w:cs="Times New Roman"/>
                <w:szCs w:val="21"/>
              </w:rPr>
            </w:pPr>
            <w:r>
              <w:rPr>
                <w:rFonts w:hint="eastAsia" w:ascii="宋体" w:hAnsi="宋体" w:eastAsia="宋体" w:cs="Times New Roman"/>
                <w:szCs w:val="21"/>
              </w:rPr>
              <w:t>（可选项）</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9" w:type="dxa"/>
            <w:gridSpan w:val="5"/>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信托公司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代客户管理的绿色投资资产</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绿色信</w:t>
            </w:r>
            <w:r>
              <w:rPr>
                <w:rFonts w:ascii="宋体" w:hAnsi="宋体" w:eastAsia="宋体" w:cs="Times New Roman"/>
                <w:szCs w:val="21"/>
              </w:rPr>
              <w:t>托</w:t>
            </w:r>
            <w:r>
              <w:rPr>
                <w:rFonts w:hint="eastAsia" w:ascii="宋体" w:hAnsi="宋体" w:eastAsia="宋体" w:cs="Times New Roman"/>
                <w:szCs w:val="21"/>
              </w:rPr>
              <w:t>贷款</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绿色股权投资</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绿色债券投资</w:t>
            </w:r>
          </w:p>
          <w:p>
            <w:pPr>
              <w:spacing w:line="360" w:lineRule="auto"/>
              <w:jc w:val="center"/>
              <w:rPr>
                <w:rFonts w:ascii="宋体" w:hAnsi="宋体" w:eastAsia="宋体" w:cs="Times New Roman"/>
                <w:szCs w:val="21"/>
              </w:rPr>
            </w:pPr>
            <w:r>
              <w:rPr>
                <w:rFonts w:hint="eastAsia" w:ascii="宋体" w:hAnsi="宋体" w:eastAsia="宋体" w:cs="Times New Roman"/>
                <w:szCs w:val="21"/>
              </w:rPr>
              <w:t>（贴标绿色债券）</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绿色债券投资</w:t>
            </w:r>
          </w:p>
          <w:p>
            <w:pPr>
              <w:spacing w:line="360" w:lineRule="auto"/>
              <w:jc w:val="center"/>
              <w:rPr>
                <w:rFonts w:ascii="宋体" w:hAnsi="宋体" w:eastAsia="宋体" w:cs="Times New Roman"/>
                <w:szCs w:val="21"/>
              </w:rPr>
            </w:pPr>
            <w:r>
              <w:rPr>
                <w:rFonts w:hint="eastAsia" w:ascii="宋体" w:hAnsi="宋体" w:eastAsia="宋体" w:cs="Times New Roman"/>
                <w:szCs w:val="21"/>
              </w:rPr>
              <w:t>（未贴标的“投向绿”债券）（可选项）</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绿色产业基金</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绿色公益（慈善）信托</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9" w:type="dxa"/>
            <w:gridSpan w:val="5"/>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金融租赁公司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绿色租赁</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绿色债券投资</w:t>
            </w:r>
          </w:p>
          <w:p>
            <w:pPr>
              <w:spacing w:line="360" w:lineRule="auto"/>
              <w:jc w:val="center"/>
              <w:rPr>
                <w:rFonts w:ascii="宋体" w:hAnsi="宋体" w:eastAsia="宋体" w:cs="Times New Roman"/>
                <w:szCs w:val="21"/>
              </w:rPr>
            </w:pPr>
            <w:r>
              <w:rPr>
                <w:rFonts w:hint="eastAsia" w:ascii="宋体" w:hAnsi="宋体" w:eastAsia="宋体" w:cs="Times New Roman"/>
                <w:szCs w:val="21"/>
              </w:rPr>
              <w:t>（贴标绿色债券）</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绿色债券投资</w:t>
            </w:r>
          </w:p>
          <w:p>
            <w:pPr>
              <w:spacing w:line="360" w:lineRule="auto"/>
              <w:jc w:val="center"/>
              <w:rPr>
                <w:rFonts w:ascii="宋体" w:hAnsi="宋体" w:eastAsia="宋体" w:cs="Times New Roman"/>
                <w:szCs w:val="21"/>
              </w:rPr>
            </w:pPr>
            <w:r>
              <w:rPr>
                <w:rFonts w:hint="eastAsia" w:ascii="宋体" w:hAnsi="宋体" w:eastAsia="宋体" w:cs="Times New Roman"/>
                <w:szCs w:val="21"/>
              </w:rPr>
              <w:t>（未贴标的“投向绿”债券）（可选项）</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9" w:type="dxa"/>
            <w:gridSpan w:val="5"/>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保险业金融机构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绿色保险承保</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绿色债券投资</w:t>
            </w:r>
          </w:p>
          <w:p>
            <w:pPr>
              <w:spacing w:line="360" w:lineRule="auto"/>
              <w:jc w:val="center"/>
              <w:rPr>
                <w:rFonts w:ascii="宋体" w:hAnsi="宋体" w:eastAsia="宋体" w:cs="Times New Roman"/>
                <w:szCs w:val="21"/>
              </w:rPr>
            </w:pPr>
            <w:r>
              <w:rPr>
                <w:rFonts w:hint="eastAsia" w:ascii="宋体" w:hAnsi="宋体" w:eastAsia="宋体" w:cs="Times New Roman"/>
                <w:szCs w:val="21"/>
              </w:rPr>
              <w:t>（贴标绿色债券）</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绿色债券投资</w:t>
            </w:r>
          </w:p>
          <w:p>
            <w:pPr>
              <w:spacing w:line="360" w:lineRule="auto"/>
              <w:jc w:val="center"/>
              <w:rPr>
                <w:rFonts w:ascii="宋体" w:hAnsi="宋体" w:eastAsia="宋体" w:cs="Times New Roman"/>
                <w:szCs w:val="21"/>
              </w:rPr>
            </w:pPr>
            <w:r>
              <w:rPr>
                <w:rFonts w:hint="eastAsia" w:ascii="宋体" w:hAnsi="宋体" w:eastAsia="宋体" w:cs="Times New Roman"/>
                <w:szCs w:val="21"/>
              </w:rPr>
              <w:t>（未贴标的“投向绿”债券）（可选项）</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其他绿色投资</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5"/>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证券</w:t>
            </w:r>
            <w:r>
              <w:rPr>
                <w:rFonts w:ascii="宋体" w:hAnsi="宋体" w:eastAsia="宋体" w:cs="Times New Roman"/>
                <w:b/>
                <w:bCs/>
                <w:szCs w:val="21"/>
              </w:rPr>
              <w:t>公司</w:t>
            </w:r>
            <w:r>
              <w:rPr>
                <w:rFonts w:hint="eastAsia" w:ascii="宋体" w:hAnsi="宋体" w:eastAsia="宋体" w:cs="Times New Roman"/>
                <w:b/>
                <w:bCs/>
                <w:szCs w:val="21"/>
              </w:rPr>
              <w:t>、基金</w:t>
            </w:r>
            <w:r>
              <w:rPr>
                <w:rFonts w:ascii="宋体" w:hAnsi="宋体" w:eastAsia="宋体" w:cs="Times New Roman"/>
                <w:b/>
                <w:bCs/>
                <w:szCs w:val="21"/>
              </w:rPr>
              <w:t>管理公司及前述机构从事资产管理业务的子公司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绿色</w:t>
            </w:r>
            <w:r>
              <w:rPr>
                <w:rFonts w:ascii="宋体" w:hAnsi="宋体" w:eastAsia="宋体" w:cs="Times New Roman"/>
                <w:szCs w:val="21"/>
              </w:rPr>
              <w:t>资产管理产品</w:t>
            </w:r>
          </w:p>
        </w:tc>
        <w:tc>
          <w:tcPr>
            <w:tcW w:w="1701"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p>
        </w:tc>
        <w:tc>
          <w:tcPr>
            <w:tcW w:w="1560" w:type="dxa"/>
          </w:tcPr>
          <w:p>
            <w:pPr>
              <w:spacing w:line="360" w:lineRule="auto"/>
              <w:rPr>
                <w:rFonts w:ascii="宋体" w:hAnsi="宋体" w:eastAsia="宋体" w:cs="Times New Roman"/>
                <w:szCs w:val="21"/>
              </w:rPr>
            </w:pPr>
          </w:p>
        </w:tc>
        <w:tc>
          <w:tcPr>
            <w:tcW w:w="1275" w:type="dxa"/>
          </w:tcPr>
          <w:p>
            <w:pPr>
              <w:spacing w:line="360" w:lineRule="auto"/>
              <w:rPr>
                <w:rFonts w:ascii="宋体" w:hAnsi="宋体" w:eastAsia="宋体" w:cs="Times New Roman"/>
                <w:szCs w:val="21"/>
              </w:rPr>
            </w:pPr>
            <w:r>
              <w:rPr>
                <w:rFonts w:hint="eastAsia" w:ascii="宋体" w:hAnsi="宋体" w:eastAsia="宋体" w:cs="Times New Roman"/>
                <w:szCs w:val="21"/>
              </w:rPr>
              <w:t>/</w:t>
            </w:r>
          </w:p>
        </w:tc>
      </w:tr>
    </w:tbl>
    <w:p>
      <w:pPr>
        <w:spacing w:line="360" w:lineRule="auto"/>
        <w:rPr>
          <w:rFonts w:ascii="黑体" w:hAnsi="黑体" w:eastAsia="黑体" w:cs="Times New Roman"/>
          <w:sz w:val="22"/>
          <w:szCs w:val="32"/>
        </w:rPr>
      </w:pPr>
      <w:r>
        <w:rPr>
          <w:rFonts w:ascii="黑体" w:hAnsi="黑体" w:eastAsia="黑体" w:cs="Times New Roman"/>
          <w:sz w:val="22"/>
          <w:szCs w:val="32"/>
        </w:rPr>
        <w:t>注</w:t>
      </w:r>
      <w:r>
        <w:rPr>
          <w:rFonts w:hint="eastAsia" w:ascii="黑体" w:hAnsi="黑体" w:eastAsia="黑体" w:cs="Times New Roman"/>
          <w:sz w:val="22"/>
          <w:szCs w:val="32"/>
        </w:rPr>
        <w:t>：</w:t>
      </w:r>
      <w:r>
        <w:rPr>
          <w:rFonts w:ascii="黑体" w:hAnsi="黑体" w:eastAsia="黑体" w:cs="Times New Roman"/>
          <w:sz w:val="22"/>
          <w:szCs w:val="32"/>
        </w:rPr>
        <w:t>金融机构可依据自身业务开展情况增加披露内容</w:t>
      </w:r>
    </w:p>
    <w:p>
      <w:pPr>
        <w:spacing w:line="360" w:lineRule="auto"/>
        <w:jc w:val="center"/>
        <w:rPr>
          <w:rFonts w:ascii="黑体" w:hAnsi="黑体" w:eastAsia="黑体" w:cs="Times New Roman"/>
          <w:bCs/>
          <w:sz w:val="28"/>
          <w:szCs w:val="32"/>
        </w:rPr>
      </w:pPr>
      <w:r>
        <w:rPr>
          <w:rFonts w:hint="eastAsia" w:ascii="黑体" w:hAnsi="黑体" w:eastAsia="黑体" w:cs="Times New Roman"/>
          <w:bCs/>
          <w:sz w:val="28"/>
          <w:szCs w:val="32"/>
        </w:rPr>
        <w:t>表1</w:t>
      </w:r>
      <w:r>
        <w:rPr>
          <w:rFonts w:ascii="黑体" w:hAnsi="黑体" w:eastAsia="黑体" w:cs="Times New Roman"/>
          <w:bCs/>
          <w:sz w:val="28"/>
          <w:szCs w:val="32"/>
        </w:rPr>
        <w:t>.3</w:t>
      </w:r>
      <w:r>
        <w:rPr>
          <w:rFonts w:hint="eastAsia" w:ascii="黑体" w:hAnsi="黑体" w:eastAsia="黑体" w:cs="Times New Roman"/>
          <w:bCs/>
          <w:sz w:val="28"/>
          <w:szCs w:val="32"/>
        </w:rPr>
        <w:t>绿色投融资活动环境效益指标</w:t>
      </w:r>
    </w:p>
    <w:tbl>
      <w:tblPr>
        <w:tblStyle w:val="9"/>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269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指标名称</w:t>
            </w:r>
          </w:p>
        </w:tc>
        <w:tc>
          <w:tcPr>
            <w:tcW w:w="2693" w:type="dxa"/>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单位</w:t>
            </w:r>
          </w:p>
        </w:tc>
        <w:tc>
          <w:tcPr>
            <w:tcW w:w="2835" w:type="dxa"/>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披露数据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节能量</w:t>
            </w:r>
          </w:p>
        </w:tc>
        <w:tc>
          <w:tcPr>
            <w:tcW w:w="2693"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吨标煤/年</w:t>
            </w:r>
          </w:p>
        </w:tc>
        <w:tc>
          <w:tcPr>
            <w:tcW w:w="283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碳减排量</w:t>
            </w:r>
          </w:p>
        </w:tc>
        <w:tc>
          <w:tcPr>
            <w:tcW w:w="2693"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吨二氧化碳当量/年</w:t>
            </w:r>
          </w:p>
        </w:tc>
        <w:tc>
          <w:tcPr>
            <w:tcW w:w="283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1"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化学需氧量削减量</w:t>
            </w:r>
          </w:p>
        </w:tc>
        <w:tc>
          <w:tcPr>
            <w:tcW w:w="2693"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吨/年</w:t>
            </w:r>
          </w:p>
        </w:tc>
        <w:tc>
          <w:tcPr>
            <w:tcW w:w="283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氨氮削减量</w:t>
            </w:r>
          </w:p>
        </w:tc>
        <w:tc>
          <w:tcPr>
            <w:tcW w:w="2693"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吨/年</w:t>
            </w:r>
          </w:p>
        </w:tc>
        <w:tc>
          <w:tcPr>
            <w:tcW w:w="283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二氧化硫削减量</w:t>
            </w:r>
          </w:p>
        </w:tc>
        <w:tc>
          <w:tcPr>
            <w:tcW w:w="2693"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吨/年</w:t>
            </w:r>
          </w:p>
        </w:tc>
        <w:tc>
          <w:tcPr>
            <w:tcW w:w="283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氮氧化物削减量</w:t>
            </w:r>
          </w:p>
        </w:tc>
        <w:tc>
          <w:tcPr>
            <w:tcW w:w="2693"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吨/年</w:t>
            </w:r>
          </w:p>
        </w:tc>
        <w:tc>
          <w:tcPr>
            <w:tcW w:w="283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1"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节水量</w:t>
            </w:r>
          </w:p>
        </w:tc>
        <w:tc>
          <w:tcPr>
            <w:tcW w:w="2693"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吨/年</w:t>
            </w:r>
          </w:p>
        </w:tc>
        <w:tc>
          <w:tcPr>
            <w:tcW w:w="283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总氮削减量</w:t>
            </w:r>
          </w:p>
        </w:tc>
        <w:tc>
          <w:tcPr>
            <w:tcW w:w="2693"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吨/年</w:t>
            </w:r>
          </w:p>
        </w:tc>
        <w:tc>
          <w:tcPr>
            <w:tcW w:w="283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总磷削减量</w:t>
            </w:r>
          </w:p>
        </w:tc>
        <w:tc>
          <w:tcPr>
            <w:tcW w:w="2693" w:type="dxa"/>
            <w:vAlign w:val="center"/>
          </w:tcPr>
          <w:p>
            <w:pPr>
              <w:spacing w:line="360" w:lineRule="auto"/>
              <w:jc w:val="center"/>
              <w:rPr>
                <w:rFonts w:ascii="宋体" w:hAnsi="宋体" w:eastAsia="宋体" w:cs="Times New Roman"/>
                <w:szCs w:val="21"/>
              </w:rPr>
            </w:pPr>
            <w:r>
              <w:rPr>
                <w:rFonts w:hint="eastAsia" w:ascii="宋体" w:hAnsi="宋体" w:eastAsia="宋体"/>
                <w:color w:val="000000"/>
                <w:szCs w:val="21"/>
              </w:rPr>
              <w:t>吨/年</w:t>
            </w:r>
          </w:p>
        </w:tc>
        <w:tc>
          <w:tcPr>
            <w:tcW w:w="283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ascii="宋体" w:hAnsi="宋体" w:eastAsia="宋体"/>
                <w:color w:val="000000"/>
                <w:szCs w:val="21"/>
              </w:rPr>
            </w:pPr>
            <w:r>
              <w:rPr>
                <w:rFonts w:hint="eastAsia" w:ascii="宋体" w:hAnsi="宋体" w:eastAsia="宋体"/>
                <w:color w:val="000000"/>
                <w:szCs w:val="21"/>
              </w:rPr>
              <w:t>其他环境效益指标（可选项）</w:t>
            </w:r>
          </w:p>
        </w:tc>
        <w:tc>
          <w:tcPr>
            <w:tcW w:w="2693" w:type="dxa"/>
            <w:vAlign w:val="center"/>
          </w:tcPr>
          <w:p>
            <w:pPr>
              <w:spacing w:line="360" w:lineRule="auto"/>
              <w:jc w:val="center"/>
              <w:rPr>
                <w:rFonts w:ascii="宋体" w:hAnsi="宋体" w:eastAsia="宋体"/>
                <w:color w:val="000000"/>
                <w:szCs w:val="21"/>
              </w:rPr>
            </w:pPr>
          </w:p>
        </w:tc>
        <w:tc>
          <w:tcPr>
            <w:tcW w:w="2835" w:type="dxa"/>
          </w:tcPr>
          <w:p>
            <w:pPr>
              <w:spacing w:line="360" w:lineRule="auto"/>
              <w:rPr>
                <w:rFonts w:ascii="宋体" w:hAnsi="宋体" w:eastAsia="宋体" w:cs="Times New Roman"/>
                <w:szCs w:val="21"/>
              </w:rPr>
            </w:pPr>
          </w:p>
        </w:tc>
      </w:tr>
    </w:tbl>
    <w:p>
      <w:pPr>
        <w:spacing w:line="360" w:lineRule="auto"/>
        <w:rPr>
          <w:rFonts w:ascii="Times New Roman" w:hAnsi="Times New Roman" w:eastAsia="仿宋_GB2312" w:cs="Times New Roman"/>
          <w:sz w:val="32"/>
          <w:szCs w:val="32"/>
        </w:rPr>
      </w:pPr>
      <w:r>
        <w:rPr>
          <w:rFonts w:ascii="黑体" w:hAnsi="黑体" w:eastAsia="黑体" w:cs="Times New Roman"/>
          <w:sz w:val="22"/>
          <w:szCs w:val="32"/>
        </w:rPr>
        <w:t>注</w:t>
      </w:r>
      <w:r>
        <w:rPr>
          <w:rFonts w:hint="eastAsia" w:ascii="黑体" w:hAnsi="黑体" w:eastAsia="黑体" w:cs="Times New Roman"/>
          <w:sz w:val="22"/>
          <w:szCs w:val="32"/>
        </w:rPr>
        <w:t>：</w:t>
      </w:r>
      <w:r>
        <w:rPr>
          <w:rFonts w:ascii="黑体" w:hAnsi="黑体" w:eastAsia="黑体" w:cs="Times New Roman"/>
          <w:sz w:val="22"/>
          <w:szCs w:val="32"/>
        </w:rPr>
        <w:t>金融机构可依据自身业务开展情况增加披露内容</w:t>
      </w:r>
    </w:p>
    <w:p>
      <w:pPr>
        <w:spacing w:line="360" w:lineRule="auto"/>
        <w:jc w:val="center"/>
        <w:rPr>
          <w:rFonts w:ascii="黑体" w:hAnsi="黑体" w:eastAsia="黑体" w:cs="Times New Roman"/>
          <w:bCs/>
          <w:sz w:val="28"/>
          <w:szCs w:val="28"/>
        </w:rPr>
      </w:pPr>
    </w:p>
    <w:p>
      <w:pPr>
        <w:spacing w:line="360" w:lineRule="auto"/>
        <w:jc w:val="center"/>
        <w:rPr>
          <w:rFonts w:ascii="黑体" w:hAnsi="黑体" w:eastAsia="黑体" w:cs="Times New Roman"/>
          <w:bCs/>
          <w:sz w:val="28"/>
          <w:szCs w:val="28"/>
        </w:rPr>
      </w:pPr>
    </w:p>
    <w:p>
      <w:pPr>
        <w:spacing w:line="360" w:lineRule="auto"/>
        <w:jc w:val="center"/>
        <w:rPr>
          <w:rFonts w:ascii="黑体" w:hAnsi="黑体" w:eastAsia="黑体" w:cs="Times New Roman"/>
          <w:bCs/>
          <w:sz w:val="28"/>
          <w:szCs w:val="28"/>
        </w:rPr>
      </w:pPr>
      <w:r>
        <w:rPr>
          <w:rFonts w:hint="eastAsia" w:ascii="黑体" w:hAnsi="黑体" w:eastAsia="黑体" w:cs="Times New Roman"/>
          <w:bCs/>
          <w:sz w:val="28"/>
          <w:szCs w:val="28"/>
        </w:rPr>
        <w:t>表1</w:t>
      </w:r>
      <w:r>
        <w:rPr>
          <w:rFonts w:ascii="黑体" w:hAnsi="黑体" w:eastAsia="黑体" w:cs="Times New Roman"/>
          <w:bCs/>
          <w:sz w:val="28"/>
          <w:szCs w:val="28"/>
        </w:rPr>
        <w:t>.4</w:t>
      </w:r>
      <w:r>
        <w:rPr>
          <w:rFonts w:hint="eastAsia" w:ascii="黑体" w:hAnsi="黑体" w:eastAsia="黑体" w:cs="Times New Roman"/>
          <w:bCs/>
          <w:sz w:val="28"/>
          <w:szCs w:val="28"/>
        </w:rPr>
        <w:t xml:space="preserve"> 投融资活动碳排放数据汇总</w:t>
      </w:r>
    </w:p>
    <w:tbl>
      <w:tblPr>
        <w:tblStyle w:val="9"/>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269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指标名称</w:t>
            </w:r>
          </w:p>
        </w:tc>
        <w:tc>
          <w:tcPr>
            <w:tcW w:w="2693" w:type="dxa"/>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单位</w:t>
            </w:r>
          </w:p>
        </w:tc>
        <w:tc>
          <w:tcPr>
            <w:tcW w:w="2835" w:type="dxa"/>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披露数据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投融资活动碳排放量</w:t>
            </w:r>
          </w:p>
        </w:tc>
        <w:tc>
          <w:tcPr>
            <w:tcW w:w="2693"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吨二氧化碳当量</w:t>
            </w:r>
          </w:p>
        </w:tc>
        <w:tc>
          <w:tcPr>
            <w:tcW w:w="283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纳入碳核算的投融资业务比例</w:t>
            </w:r>
          </w:p>
        </w:tc>
        <w:tc>
          <w:tcPr>
            <w:tcW w:w="2693"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w:t>
            </w:r>
          </w:p>
        </w:tc>
        <w:tc>
          <w:tcPr>
            <w:tcW w:w="283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1"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纳入碳核算的投融资金额</w:t>
            </w:r>
          </w:p>
        </w:tc>
        <w:tc>
          <w:tcPr>
            <w:tcW w:w="2693"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百万元</w:t>
            </w:r>
          </w:p>
        </w:tc>
        <w:tc>
          <w:tcPr>
            <w:tcW w:w="283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投融资活动碳排放强度</w:t>
            </w:r>
          </w:p>
        </w:tc>
        <w:tc>
          <w:tcPr>
            <w:tcW w:w="2693"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吨二氧化碳当量/百万元</w:t>
            </w:r>
          </w:p>
        </w:tc>
        <w:tc>
          <w:tcPr>
            <w:tcW w:w="2835" w:type="dxa"/>
          </w:tcPr>
          <w:p>
            <w:pPr>
              <w:spacing w:line="360" w:lineRule="auto"/>
              <w:rPr>
                <w:rFonts w:ascii="宋体" w:hAnsi="宋体" w:eastAsia="宋体" w:cs="Times New Roman"/>
                <w:szCs w:val="21"/>
              </w:rPr>
            </w:pPr>
          </w:p>
        </w:tc>
      </w:tr>
    </w:tbl>
    <w:p>
      <w:pPr>
        <w:spacing w:line="360" w:lineRule="auto"/>
        <w:jc w:val="center"/>
        <w:rPr>
          <w:rFonts w:ascii="黑体" w:hAnsi="黑体" w:eastAsia="黑体" w:cs="Times New Roman"/>
          <w:bCs/>
          <w:sz w:val="28"/>
          <w:szCs w:val="28"/>
        </w:rPr>
      </w:pPr>
      <w:r>
        <w:rPr>
          <w:rFonts w:hint="eastAsia" w:ascii="黑体" w:hAnsi="黑体" w:eastAsia="黑体" w:cs="Times New Roman"/>
          <w:bCs/>
          <w:sz w:val="28"/>
          <w:szCs w:val="28"/>
        </w:rPr>
        <w:t>表1</w:t>
      </w:r>
      <w:r>
        <w:rPr>
          <w:rFonts w:ascii="黑体" w:hAnsi="黑体" w:eastAsia="黑体" w:cs="Times New Roman"/>
          <w:bCs/>
          <w:sz w:val="28"/>
          <w:szCs w:val="28"/>
        </w:rPr>
        <w:t xml:space="preserve">.5 </w:t>
      </w:r>
      <w:r>
        <w:rPr>
          <w:rFonts w:hint="eastAsia" w:ascii="黑体" w:hAnsi="黑体" w:eastAsia="黑体" w:cs="Times New Roman"/>
          <w:bCs/>
          <w:sz w:val="28"/>
          <w:szCs w:val="28"/>
        </w:rPr>
        <w:t>绿色信贷支持的项目（企业）信息</w:t>
      </w:r>
    </w:p>
    <w:tbl>
      <w:tblPr>
        <w:tblStyle w:val="9"/>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269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项目（企业）名称</w:t>
            </w:r>
          </w:p>
        </w:tc>
        <w:tc>
          <w:tcPr>
            <w:tcW w:w="2693" w:type="dxa"/>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项目（企业）概况</w:t>
            </w:r>
          </w:p>
        </w:tc>
        <w:tc>
          <w:tcPr>
            <w:tcW w:w="2835" w:type="dxa"/>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ascii="宋体" w:hAnsi="宋体" w:eastAsia="宋体" w:cs="Times New Roman"/>
                <w:szCs w:val="21"/>
              </w:rPr>
            </w:pPr>
          </w:p>
        </w:tc>
        <w:tc>
          <w:tcPr>
            <w:tcW w:w="2693" w:type="dxa"/>
            <w:vAlign w:val="center"/>
          </w:tcPr>
          <w:p>
            <w:pPr>
              <w:spacing w:line="360" w:lineRule="auto"/>
              <w:jc w:val="center"/>
              <w:rPr>
                <w:rFonts w:ascii="宋体" w:hAnsi="宋体" w:eastAsia="宋体" w:cs="Times New Roman"/>
                <w:szCs w:val="21"/>
              </w:rPr>
            </w:pPr>
          </w:p>
        </w:tc>
        <w:tc>
          <w:tcPr>
            <w:tcW w:w="283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ascii="宋体" w:hAnsi="宋体" w:eastAsia="宋体" w:cs="Times New Roman"/>
                <w:szCs w:val="21"/>
              </w:rPr>
            </w:pPr>
          </w:p>
        </w:tc>
        <w:tc>
          <w:tcPr>
            <w:tcW w:w="2693" w:type="dxa"/>
            <w:vAlign w:val="center"/>
          </w:tcPr>
          <w:p>
            <w:pPr>
              <w:spacing w:line="360" w:lineRule="auto"/>
              <w:jc w:val="center"/>
              <w:rPr>
                <w:rFonts w:ascii="宋体" w:hAnsi="宋体" w:eastAsia="宋体" w:cs="Times New Roman"/>
                <w:szCs w:val="21"/>
              </w:rPr>
            </w:pPr>
          </w:p>
        </w:tc>
        <w:tc>
          <w:tcPr>
            <w:tcW w:w="2835" w:type="dxa"/>
          </w:tcPr>
          <w:p>
            <w:pPr>
              <w:spacing w:line="360" w:lineRule="auto"/>
              <w:rPr>
                <w:rFonts w:ascii="宋体" w:hAnsi="宋体" w:eastAsia="宋体" w:cs="Times New Roman"/>
                <w:szCs w:val="21"/>
              </w:rPr>
            </w:pPr>
          </w:p>
        </w:tc>
      </w:tr>
    </w:tbl>
    <w:p>
      <w:pPr>
        <w:spacing w:line="360" w:lineRule="auto"/>
        <w:jc w:val="center"/>
        <w:rPr>
          <w:rFonts w:ascii="黑体" w:hAnsi="黑体" w:eastAsia="黑体" w:cs="Times New Roman"/>
          <w:bCs/>
          <w:sz w:val="28"/>
          <w:szCs w:val="28"/>
        </w:rPr>
      </w:pPr>
      <w:r>
        <w:rPr>
          <w:rFonts w:hint="eastAsia" w:ascii="黑体" w:hAnsi="黑体" w:eastAsia="黑体" w:cs="Times New Roman"/>
          <w:bCs/>
          <w:sz w:val="28"/>
          <w:szCs w:val="28"/>
        </w:rPr>
        <w:t>表1</w:t>
      </w:r>
      <w:r>
        <w:rPr>
          <w:rFonts w:ascii="黑体" w:hAnsi="黑体" w:eastAsia="黑体" w:cs="Times New Roman"/>
          <w:bCs/>
          <w:sz w:val="28"/>
          <w:szCs w:val="28"/>
        </w:rPr>
        <w:t xml:space="preserve">.6 </w:t>
      </w:r>
      <w:r>
        <w:rPr>
          <w:rFonts w:hint="eastAsia" w:ascii="黑体" w:hAnsi="黑体" w:eastAsia="黑体" w:cs="Times New Roman"/>
          <w:bCs/>
          <w:sz w:val="28"/>
          <w:szCs w:val="28"/>
        </w:rPr>
        <w:t>绿色债券支持的项目信息</w:t>
      </w:r>
    </w:p>
    <w:tbl>
      <w:tblPr>
        <w:tblStyle w:val="9"/>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269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项目名称</w:t>
            </w:r>
          </w:p>
        </w:tc>
        <w:tc>
          <w:tcPr>
            <w:tcW w:w="2693" w:type="dxa"/>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项目概况</w:t>
            </w:r>
          </w:p>
        </w:tc>
        <w:tc>
          <w:tcPr>
            <w:tcW w:w="2835" w:type="dxa"/>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ascii="宋体" w:hAnsi="宋体" w:eastAsia="宋体" w:cs="Times New Roman"/>
                <w:szCs w:val="21"/>
              </w:rPr>
            </w:pPr>
          </w:p>
        </w:tc>
        <w:tc>
          <w:tcPr>
            <w:tcW w:w="2693" w:type="dxa"/>
            <w:vAlign w:val="center"/>
          </w:tcPr>
          <w:p>
            <w:pPr>
              <w:spacing w:line="360" w:lineRule="auto"/>
              <w:jc w:val="center"/>
              <w:rPr>
                <w:rFonts w:ascii="宋体" w:hAnsi="宋体" w:eastAsia="宋体" w:cs="Times New Roman"/>
                <w:szCs w:val="21"/>
              </w:rPr>
            </w:pPr>
          </w:p>
        </w:tc>
        <w:tc>
          <w:tcPr>
            <w:tcW w:w="2835"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ascii="宋体" w:hAnsi="宋体" w:eastAsia="宋体" w:cs="Times New Roman"/>
                <w:szCs w:val="21"/>
              </w:rPr>
            </w:pPr>
          </w:p>
        </w:tc>
        <w:tc>
          <w:tcPr>
            <w:tcW w:w="2693" w:type="dxa"/>
            <w:vAlign w:val="center"/>
          </w:tcPr>
          <w:p>
            <w:pPr>
              <w:spacing w:line="360" w:lineRule="auto"/>
              <w:jc w:val="center"/>
              <w:rPr>
                <w:rFonts w:ascii="宋体" w:hAnsi="宋体" w:eastAsia="宋体" w:cs="Times New Roman"/>
                <w:szCs w:val="21"/>
              </w:rPr>
            </w:pPr>
          </w:p>
        </w:tc>
        <w:tc>
          <w:tcPr>
            <w:tcW w:w="2835" w:type="dxa"/>
          </w:tcPr>
          <w:p>
            <w:pPr>
              <w:spacing w:line="360" w:lineRule="auto"/>
              <w:rPr>
                <w:rFonts w:ascii="宋体" w:hAnsi="宋体" w:eastAsia="宋体" w:cs="Times New Roman"/>
                <w:szCs w:val="21"/>
              </w:rPr>
            </w:pPr>
          </w:p>
        </w:tc>
      </w:tr>
    </w:tbl>
    <w:p>
      <w:pPr>
        <w:spacing w:line="360" w:lineRule="auto"/>
        <w:jc w:val="center"/>
        <w:rPr>
          <w:rFonts w:ascii="黑体" w:hAnsi="黑体" w:eastAsia="黑体" w:cs="Times New Roman"/>
          <w:bCs/>
          <w:sz w:val="28"/>
          <w:szCs w:val="28"/>
        </w:rPr>
      </w:pPr>
    </w:p>
    <w:p>
      <w:pPr>
        <w:spacing w:line="360" w:lineRule="auto"/>
        <w:rPr>
          <w:rFonts w:ascii="Times New Roman" w:hAnsi="Times New Roman" w:eastAsia="仿宋_GB2312" w:cs="Times New Roman"/>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sz w:val="32"/>
          <w:szCs w:val="32"/>
        </w:rPr>
        <w:br w:type="page"/>
      </w:r>
    </w:p>
    <w:p>
      <w:pPr>
        <w:rPr>
          <w:rFonts w:ascii="楷体_GB2312" w:hAnsi="仿宋" w:eastAsia="楷体_GB2312" w:cs="仿宋"/>
          <w:b/>
          <w:bCs/>
          <w:color w:val="000000"/>
          <w:sz w:val="28"/>
          <w:szCs w:val="28"/>
        </w:rPr>
      </w:pPr>
      <w:r>
        <w:rPr>
          <w:rFonts w:hint="eastAsia" w:ascii="楷体_GB2312" w:hAnsi="仿宋" w:eastAsia="楷体_GB2312" w:cs="仿宋"/>
          <w:b/>
          <w:bCs/>
          <w:color w:val="000000"/>
          <w:sz w:val="28"/>
          <w:szCs w:val="28"/>
        </w:rPr>
        <w:t>二、</w:t>
      </w:r>
      <w:r>
        <w:rPr>
          <w:rFonts w:hint="eastAsia" w:ascii="楷体_GB2312" w:hAnsi="Times New Roman" w:eastAsia="楷体_GB2312" w:cs="Times New Roman"/>
          <w:b/>
          <w:bCs/>
          <w:sz w:val="32"/>
          <w:szCs w:val="32"/>
        </w:rPr>
        <w:t>金融机构环境信息披露指标说明</w:t>
      </w:r>
    </w:p>
    <w:tbl>
      <w:tblPr>
        <w:tblStyle w:val="8"/>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135"/>
        <w:gridCol w:w="1417"/>
        <w:gridCol w:w="721"/>
        <w:gridCol w:w="528"/>
        <w:gridCol w:w="2862"/>
        <w:gridCol w:w="992"/>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shd w:val="clear" w:color="auto" w:fill="auto"/>
            <w:tcMar>
              <w:top w:w="72" w:type="dxa"/>
              <w:left w:w="144" w:type="dxa"/>
              <w:bottom w:w="72" w:type="dxa"/>
              <w:right w:w="144" w:type="dxa"/>
            </w:tcMar>
            <w:vAlign w:val="center"/>
          </w:tcPr>
          <w:p>
            <w:pPr>
              <w:jc w:val="center"/>
              <w:rPr>
                <w:rFonts w:ascii="宋体" w:hAnsi="宋体" w:eastAsia="宋体" w:cs="仿宋"/>
                <w:b/>
                <w:bCs/>
                <w:szCs w:val="21"/>
              </w:rPr>
            </w:pPr>
            <w:r>
              <w:rPr>
                <w:rFonts w:hint="eastAsia" w:ascii="宋体" w:hAnsi="宋体" w:eastAsia="宋体" w:cs="仿宋"/>
                <w:b/>
                <w:bCs/>
                <w:szCs w:val="21"/>
              </w:rPr>
              <w:t>一级指标</w:t>
            </w:r>
          </w:p>
        </w:tc>
        <w:tc>
          <w:tcPr>
            <w:tcW w:w="1417" w:type="dxa"/>
            <w:shd w:val="clear" w:color="auto" w:fill="auto"/>
            <w:tcMar>
              <w:top w:w="72" w:type="dxa"/>
              <w:left w:w="144" w:type="dxa"/>
              <w:bottom w:w="72" w:type="dxa"/>
              <w:right w:w="144" w:type="dxa"/>
            </w:tcMar>
            <w:vAlign w:val="center"/>
          </w:tcPr>
          <w:p>
            <w:pPr>
              <w:jc w:val="center"/>
              <w:rPr>
                <w:rFonts w:ascii="宋体" w:hAnsi="宋体" w:eastAsia="宋体" w:cs="仿宋"/>
                <w:b/>
                <w:bCs/>
                <w:szCs w:val="21"/>
              </w:rPr>
            </w:pPr>
            <w:r>
              <w:rPr>
                <w:rFonts w:hint="eastAsia" w:ascii="宋体" w:hAnsi="宋体" w:eastAsia="宋体" w:cs="仿宋"/>
                <w:b/>
                <w:bCs/>
                <w:szCs w:val="21"/>
              </w:rPr>
              <w:t>二级指标</w:t>
            </w:r>
          </w:p>
        </w:tc>
        <w:tc>
          <w:tcPr>
            <w:tcW w:w="4111" w:type="dxa"/>
            <w:gridSpan w:val="3"/>
            <w:vAlign w:val="center"/>
          </w:tcPr>
          <w:p>
            <w:pPr>
              <w:jc w:val="center"/>
              <w:rPr>
                <w:rFonts w:ascii="宋体" w:hAnsi="宋体" w:eastAsia="宋体" w:cs="仿宋"/>
                <w:b/>
                <w:bCs/>
                <w:szCs w:val="21"/>
              </w:rPr>
            </w:pPr>
            <w:r>
              <w:rPr>
                <w:rFonts w:hint="eastAsia" w:ascii="宋体" w:hAnsi="宋体" w:eastAsia="宋体" w:cs="仿宋"/>
                <w:b/>
                <w:bCs/>
                <w:szCs w:val="21"/>
              </w:rPr>
              <w:t>三级指标</w:t>
            </w:r>
          </w:p>
        </w:tc>
        <w:tc>
          <w:tcPr>
            <w:tcW w:w="992" w:type="dxa"/>
            <w:vAlign w:val="center"/>
          </w:tcPr>
          <w:p>
            <w:pPr>
              <w:jc w:val="center"/>
              <w:rPr>
                <w:rFonts w:ascii="宋体" w:hAnsi="宋体" w:eastAsia="宋体" w:cs="仿宋"/>
                <w:b/>
                <w:bCs/>
                <w:szCs w:val="21"/>
              </w:rPr>
            </w:pPr>
            <w:r>
              <w:rPr>
                <w:rFonts w:hint="eastAsia" w:ascii="宋体" w:hAnsi="宋体" w:eastAsia="宋体" w:cs="仿宋"/>
                <w:b/>
                <w:bCs/>
                <w:szCs w:val="21"/>
              </w:rPr>
              <w:t>指标类型</w:t>
            </w:r>
          </w:p>
        </w:tc>
        <w:tc>
          <w:tcPr>
            <w:tcW w:w="6440" w:type="dxa"/>
            <w:vAlign w:val="center"/>
          </w:tcPr>
          <w:p>
            <w:pPr>
              <w:jc w:val="center"/>
              <w:rPr>
                <w:rFonts w:ascii="宋体" w:hAnsi="宋体" w:eastAsia="宋体" w:cs="仿宋"/>
                <w:b/>
                <w:bCs/>
                <w:szCs w:val="21"/>
              </w:rPr>
            </w:pPr>
            <w:r>
              <w:rPr>
                <w:rFonts w:hint="eastAsia" w:ascii="宋体" w:hAnsi="宋体" w:eastAsia="宋体" w:cs="仿宋"/>
                <w:b/>
                <w:bCs/>
                <w:szCs w:val="21"/>
              </w:rPr>
              <w:t>指标释义及披露要求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restart"/>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基本信息</w:t>
            </w:r>
          </w:p>
        </w:tc>
        <w:tc>
          <w:tcPr>
            <w:tcW w:w="1417" w:type="dxa"/>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组织</w:t>
            </w:r>
            <w:r>
              <w:rPr>
                <w:rFonts w:ascii="宋体" w:hAnsi="宋体" w:eastAsia="宋体" w:cs="仿宋"/>
                <w:szCs w:val="21"/>
              </w:rPr>
              <w:t>基本信息</w:t>
            </w:r>
          </w:p>
        </w:tc>
        <w:tc>
          <w:tcPr>
            <w:tcW w:w="4111" w:type="dxa"/>
            <w:gridSpan w:val="3"/>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w:t>
            </w:r>
          </w:p>
        </w:tc>
        <w:tc>
          <w:tcPr>
            <w:tcW w:w="992" w:type="dxa"/>
            <w:vMerge w:val="restart"/>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vAlign w:val="center"/>
          </w:tcPr>
          <w:p>
            <w:pPr>
              <w:jc w:val="left"/>
              <w:rPr>
                <w:rFonts w:ascii="宋体" w:hAnsi="宋体" w:eastAsia="宋体" w:cs="仿宋"/>
                <w:szCs w:val="21"/>
              </w:rPr>
            </w:pPr>
            <w:r>
              <w:rPr>
                <w:rFonts w:ascii="宋体" w:hAnsi="宋体" w:eastAsia="宋体" w:cs="Times New Roman"/>
                <w:szCs w:val="21"/>
              </w:rPr>
              <w:t>金融机构应披露机构名称</w:t>
            </w:r>
            <w:r>
              <w:rPr>
                <w:rFonts w:hint="eastAsia" w:ascii="宋体" w:hAnsi="宋体" w:eastAsia="宋体" w:cs="Times New Roman"/>
                <w:szCs w:val="21"/>
              </w:rPr>
              <w:t>、</w:t>
            </w:r>
            <w:r>
              <w:rPr>
                <w:rFonts w:ascii="宋体" w:hAnsi="宋体" w:eastAsia="宋体" w:cs="Times New Roman"/>
                <w:szCs w:val="21"/>
              </w:rPr>
              <w:t>单位性质</w:t>
            </w:r>
            <w:r>
              <w:rPr>
                <w:rFonts w:hint="eastAsia" w:ascii="宋体" w:hAnsi="宋体" w:eastAsia="宋体" w:cs="Times New Roman"/>
                <w:szCs w:val="21"/>
              </w:rPr>
              <w:t>、</w:t>
            </w:r>
            <w:r>
              <w:rPr>
                <w:rFonts w:ascii="宋体" w:hAnsi="宋体" w:eastAsia="宋体" w:cs="Times New Roman"/>
                <w:szCs w:val="21"/>
              </w:rPr>
              <w:t>所属行业</w:t>
            </w:r>
            <w:r>
              <w:rPr>
                <w:rFonts w:hint="eastAsia" w:ascii="宋体" w:hAnsi="宋体" w:eastAsia="宋体" w:cs="Times New Roman"/>
                <w:szCs w:val="21"/>
              </w:rPr>
              <w:t>、</w:t>
            </w:r>
            <w:r>
              <w:rPr>
                <w:rFonts w:ascii="宋体" w:hAnsi="宋体" w:eastAsia="宋体" w:cs="Times New Roman"/>
                <w:szCs w:val="21"/>
              </w:rPr>
              <w:t>统一社会信用代码或组织机构代码</w:t>
            </w:r>
            <w:r>
              <w:rPr>
                <w:rFonts w:hint="eastAsia" w:ascii="宋体" w:hAnsi="宋体" w:eastAsia="宋体" w:cs="Times New Roman"/>
                <w:szCs w:val="21"/>
              </w:rPr>
              <w:t>、</w:t>
            </w:r>
            <w:r>
              <w:rPr>
                <w:rFonts w:ascii="宋体" w:hAnsi="宋体" w:eastAsia="宋体" w:cs="Times New Roman"/>
                <w:szCs w:val="21"/>
              </w:rPr>
              <w:t>全球法人识别编码</w:t>
            </w:r>
            <w:r>
              <w:rPr>
                <w:rFonts w:hint="eastAsia" w:ascii="宋体" w:hAnsi="宋体" w:eastAsia="宋体" w:cs="Times New Roman"/>
                <w:szCs w:val="21"/>
              </w:rPr>
              <w:t>（</w:t>
            </w:r>
            <w:r>
              <w:rPr>
                <w:rFonts w:ascii="宋体" w:hAnsi="宋体" w:eastAsia="宋体" w:cs="Times New Roman"/>
                <w:szCs w:val="21"/>
              </w:rPr>
              <w:t>Legal Entity Identifier,LEI</w:t>
            </w:r>
            <w:r>
              <w:rPr>
                <w:rFonts w:hint="eastAsia" w:ascii="宋体" w:hAnsi="宋体" w:eastAsia="宋体" w:cs="Times New Roman"/>
                <w:szCs w:val="21"/>
              </w:rPr>
              <w:t>）、法定代表人、填报负责人和联系人信息。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restart"/>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所在地</w:t>
            </w:r>
          </w:p>
        </w:tc>
        <w:tc>
          <w:tcPr>
            <w:tcW w:w="4111" w:type="dxa"/>
            <w:gridSpan w:val="3"/>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总部所在地</w:t>
            </w:r>
          </w:p>
        </w:tc>
        <w:tc>
          <w:tcPr>
            <w:tcW w:w="992" w:type="dxa"/>
            <w:vMerge w:val="continue"/>
            <w:vAlign w:val="center"/>
          </w:tcPr>
          <w:p>
            <w:pPr>
              <w:jc w:val="center"/>
              <w:rPr>
                <w:rFonts w:ascii="宋体" w:hAnsi="宋体" w:eastAsia="宋体" w:cs="仿宋"/>
                <w:szCs w:val="21"/>
              </w:rPr>
            </w:pPr>
          </w:p>
        </w:tc>
        <w:tc>
          <w:tcPr>
            <w:tcW w:w="6440" w:type="dxa"/>
            <w:vAlign w:val="center"/>
          </w:tcPr>
          <w:p>
            <w:pPr>
              <w:jc w:val="center"/>
              <w:rPr>
                <w:rFonts w:ascii="宋体" w:hAnsi="宋体" w:eastAsia="宋体" w:cs="仿宋"/>
                <w:szCs w:val="21"/>
              </w:rPr>
            </w:pPr>
            <w:r>
              <w:rPr>
                <w:rFonts w:hint="eastAsia"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经营位置</w:t>
            </w:r>
          </w:p>
        </w:tc>
        <w:tc>
          <w:tcPr>
            <w:tcW w:w="992" w:type="dxa"/>
            <w:vMerge w:val="continue"/>
            <w:vAlign w:val="center"/>
          </w:tcPr>
          <w:p>
            <w:pPr>
              <w:jc w:val="center"/>
              <w:rPr>
                <w:rFonts w:ascii="宋体" w:hAnsi="宋体" w:eastAsia="宋体" w:cs="仿宋"/>
                <w:szCs w:val="21"/>
              </w:rPr>
            </w:pPr>
          </w:p>
        </w:tc>
        <w:tc>
          <w:tcPr>
            <w:tcW w:w="6440" w:type="dxa"/>
            <w:vAlign w:val="center"/>
          </w:tcPr>
          <w:p>
            <w:pPr>
              <w:jc w:val="center"/>
              <w:rPr>
                <w:rFonts w:ascii="宋体" w:hAnsi="宋体" w:eastAsia="宋体" w:cs="仿宋"/>
                <w:szCs w:val="21"/>
              </w:rPr>
            </w:pPr>
            <w:r>
              <w:rPr>
                <w:rFonts w:hint="eastAsia"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2" w:hRule="atLeast"/>
        </w:trPr>
        <w:tc>
          <w:tcPr>
            <w:tcW w:w="1135"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restart"/>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业务类型</w:t>
            </w:r>
          </w:p>
        </w:tc>
        <w:tc>
          <w:tcPr>
            <w:tcW w:w="4111" w:type="dxa"/>
            <w:gridSpan w:val="3"/>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主要产品和服务</w:t>
            </w:r>
          </w:p>
        </w:tc>
        <w:tc>
          <w:tcPr>
            <w:tcW w:w="992" w:type="dxa"/>
            <w:vMerge w:val="continue"/>
            <w:vAlign w:val="center"/>
          </w:tcPr>
          <w:p>
            <w:pPr>
              <w:jc w:val="center"/>
              <w:rPr>
                <w:rFonts w:ascii="宋体" w:hAnsi="宋体" w:eastAsia="宋体" w:cs="仿宋"/>
                <w:szCs w:val="21"/>
              </w:rPr>
            </w:pPr>
          </w:p>
        </w:tc>
        <w:tc>
          <w:tcPr>
            <w:tcW w:w="6440" w:type="dxa"/>
            <w:vAlign w:val="center"/>
          </w:tcPr>
          <w:p>
            <w:pPr>
              <w:rPr>
                <w:rFonts w:ascii="宋体" w:hAnsi="宋体" w:eastAsia="宋体" w:cs="仿宋"/>
                <w:szCs w:val="21"/>
              </w:rPr>
            </w:pPr>
            <w:r>
              <w:rPr>
                <w:rFonts w:hint="eastAsia" w:ascii="宋体" w:hAnsi="宋体" w:eastAsia="宋体" w:cs="仿宋"/>
                <w:szCs w:val="21"/>
              </w:rPr>
              <w:t>列明金融机构业务范围，说明向客户提供的主要产品及服务。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服务的客户类型</w:t>
            </w:r>
          </w:p>
        </w:tc>
        <w:tc>
          <w:tcPr>
            <w:tcW w:w="992" w:type="dxa"/>
            <w:vMerge w:val="continue"/>
            <w:vAlign w:val="center"/>
          </w:tcPr>
          <w:p>
            <w:pPr>
              <w:jc w:val="center"/>
              <w:rPr>
                <w:rFonts w:ascii="宋体" w:hAnsi="宋体" w:eastAsia="宋体" w:cs="仿宋"/>
                <w:szCs w:val="21"/>
              </w:rPr>
            </w:pPr>
          </w:p>
        </w:tc>
        <w:tc>
          <w:tcPr>
            <w:tcW w:w="6440" w:type="dxa"/>
            <w:vAlign w:val="center"/>
          </w:tcPr>
          <w:p>
            <w:pPr>
              <w:jc w:val="center"/>
              <w:rPr>
                <w:rFonts w:ascii="宋体" w:hAnsi="宋体" w:eastAsia="宋体" w:cs="仿宋"/>
                <w:szCs w:val="21"/>
              </w:rPr>
            </w:pPr>
            <w:r>
              <w:rPr>
                <w:rFonts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restart"/>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战略目标</w:t>
            </w:r>
          </w:p>
        </w:tc>
        <w:tc>
          <w:tcPr>
            <w:tcW w:w="1417" w:type="dxa"/>
            <w:vMerge w:val="restart"/>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环境、绿色金融相关目标</w:t>
            </w:r>
          </w:p>
        </w:tc>
        <w:tc>
          <w:tcPr>
            <w:tcW w:w="4111" w:type="dxa"/>
            <w:gridSpan w:val="3"/>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目标设置情况</w:t>
            </w:r>
          </w:p>
        </w:tc>
        <w:tc>
          <w:tcPr>
            <w:tcW w:w="992" w:type="dxa"/>
            <w:vMerge w:val="restart"/>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vAlign w:val="center"/>
          </w:tcPr>
          <w:p>
            <w:pPr>
              <w:rPr>
                <w:rFonts w:ascii="宋体" w:hAnsi="宋体" w:eastAsia="宋体" w:cs="仿宋"/>
                <w:szCs w:val="21"/>
              </w:rPr>
            </w:pPr>
            <w:r>
              <w:rPr>
                <w:rFonts w:hint="eastAsia" w:ascii="宋体" w:hAnsi="宋体" w:eastAsia="宋体" w:cs="仿宋"/>
                <w:szCs w:val="21"/>
              </w:rPr>
              <w:t>指金融机构与环境、绿色金融相关的行动目标及相关承诺，</w:t>
            </w:r>
            <w:r>
              <w:rPr>
                <w:rFonts w:ascii="宋体" w:hAnsi="宋体" w:eastAsia="宋体" w:cs="仿宋"/>
                <w:szCs w:val="21"/>
              </w:rPr>
              <w:t>鼓励</w:t>
            </w:r>
            <w:r>
              <w:rPr>
                <w:rFonts w:hint="eastAsia" w:ascii="宋体" w:hAnsi="宋体" w:eastAsia="宋体" w:cs="仿宋"/>
                <w:szCs w:val="21"/>
              </w:rPr>
              <w:t>金融机构制定可</w:t>
            </w:r>
            <w:r>
              <w:rPr>
                <w:rFonts w:ascii="宋体" w:hAnsi="宋体" w:eastAsia="宋体" w:cs="仿宋"/>
                <w:szCs w:val="21"/>
              </w:rPr>
              <w:t>度</w:t>
            </w:r>
            <w:r>
              <w:rPr>
                <w:rFonts w:hint="eastAsia" w:ascii="宋体" w:hAnsi="宋体" w:eastAsia="宋体" w:cs="仿宋"/>
                <w:szCs w:val="21"/>
              </w:rPr>
              <w:t>量且可验证的环境、绿色金融相关目标，包括但不限于自身运营活动减排目标、投融资组合减排目标、绿色金融业务发展目标等。</w:t>
            </w:r>
          </w:p>
          <w:p>
            <w:pPr>
              <w:rPr>
                <w:rFonts w:ascii="宋体" w:hAnsi="宋体" w:eastAsia="宋体" w:cs="仿宋"/>
                <w:szCs w:val="21"/>
              </w:rPr>
            </w:pPr>
            <w:r>
              <w:rPr>
                <w:rFonts w:ascii="宋体" w:hAnsi="宋体" w:eastAsia="宋体" w:cs="仿宋"/>
                <w:szCs w:val="21"/>
              </w:rPr>
              <w:t>金融机应披露报告期内的环境</w:t>
            </w:r>
            <w:r>
              <w:rPr>
                <w:rFonts w:hint="eastAsia" w:ascii="宋体" w:hAnsi="宋体" w:eastAsia="宋体" w:cs="仿宋"/>
                <w:szCs w:val="21"/>
              </w:rPr>
              <w:t>、</w:t>
            </w:r>
            <w:r>
              <w:rPr>
                <w:rFonts w:ascii="宋体" w:hAnsi="宋体" w:eastAsia="宋体" w:cs="仿宋"/>
                <w:szCs w:val="21"/>
              </w:rPr>
              <w:t>绿色金融相关行动目标及相关承诺</w:t>
            </w:r>
            <w:r>
              <w:rPr>
                <w:rFonts w:hint="eastAsia" w:ascii="宋体" w:hAnsi="宋体" w:eastAsia="宋体" w:cs="仿宋"/>
                <w:szCs w:val="21"/>
              </w:rPr>
              <w:t>，若目标及相关承诺仅报告年当期有效，应补充披露下一年度或下一阶段的环境、绿色金融相关行动目标及相关承诺。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目标完成情况</w:t>
            </w:r>
          </w:p>
        </w:tc>
        <w:tc>
          <w:tcPr>
            <w:tcW w:w="992" w:type="dxa"/>
            <w:vMerge w:val="continue"/>
            <w:vAlign w:val="center"/>
          </w:tcPr>
          <w:p>
            <w:pPr>
              <w:jc w:val="center"/>
              <w:rPr>
                <w:rFonts w:ascii="宋体" w:hAnsi="宋体" w:eastAsia="宋体" w:cs="仿宋"/>
                <w:szCs w:val="21"/>
              </w:rPr>
            </w:pPr>
          </w:p>
        </w:tc>
        <w:tc>
          <w:tcPr>
            <w:tcW w:w="6440" w:type="dxa"/>
            <w:vAlign w:val="center"/>
          </w:tcPr>
          <w:p>
            <w:pPr>
              <w:rPr>
                <w:rFonts w:ascii="宋体" w:hAnsi="宋体" w:eastAsia="宋体" w:cs="仿宋"/>
                <w:szCs w:val="21"/>
              </w:rPr>
            </w:pPr>
            <w:r>
              <w:rPr>
                <w:rFonts w:hint="eastAsia" w:ascii="宋体" w:hAnsi="宋体" w:eastAsia="宋体" w:cs="仿宋"/>
                <w:szCs w:val="21"/>
              </w:rPr>
              <w:t>指金融机构在报告期内环境、绿色金融相关具体目标的完成情况，建议金融机构根据量化指标展示目标完成进展</w:t>
            </w:r>
            <w:r>
              <w:rPr>
                <w:rFonts w:ascii="宋体" w:hAnsi="宋体" w:eastAsia="宋体" w:cs="仿宋"/>
                <w:szCs w:val="21"/>
              </w:rPr>
              <w:t>及</w:t>
            </w:r>
            <w:r>
              <w:rPr>
                <w:rFonts w:hint="eastAsia" w:ascii="宋体" w:hAnsi="宋体" w:eastAsia="宋体" w:cs="仿宋"/>
                <w:szCs w:val="21"/>
              </w:rPr>
              <w:t>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shd w:val="clear" w:color="auto" w:fill="auto"/>
            <w:vAlign w:val="center"/>
          </w:tcPr>
          <w:p>
            <w:pPr>
              <w:jc w:val="center"/>
              <w:rPr>
                <w:rFonts w:ascii="宋体" w:hAnsi="宋体" w:eastAsia="宋体" w:cs="仿宋"/>
                <w:szCs w:val="21"/>
              </w:rPr>
            </w:pPr>
          </w:p>
        </w:tc>
        <w:tc>
          <w:tcPr>
            <w:tcW w:w="1417" w:type="dxa"/>
            <w:vMerge w:val="restart"/>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环境、绿色金融相关发展战略</w:t>
            </w:r>
          </w:p>
        </w:tc>
        <w:tc>
          <w:tcPr>
            <w:tcW w:w="4111" w:type="dxa"/>
            <w:gridSpan w:val="3"/>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中长期发展战略及行动计划</w:t>
            </w:r>
          </w:p>
        </w:tc>
        <w:tc>
          <w:tcPr>
            <w:tcW w:w="992" w:type="dxa"/>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vAlign w:val="center"/>
          </w:tcPr>
          <w:p>
            <w:pPr>
              <w:rPr>
                <w:rFonts w:ascii="宋体" w:hAnsi="宋体" w:eastAsia="宋体" w:cs="仿宋"/>
                <w:szCs w:val="21"/>
              </w:rPr>
            </w:pPr>
            <w:r>
              <w:rPr>
                <w:rFonts w:hint="eastAsia" w:ascii="宋体" w:hAnsi="宋体" w:eastAsia="宋体" w:cs="仿宋"/>
                <w:szCs w:val="21"/>
              </w:rPr>
              <w:t>指金融机构针对未来3年或更长时间范围的、与环境和绿色金融相关的发展战略，如绿色金融发展战略、碳中和规划等。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shd w:val="clear" w:color="auto" w:fill="auto"/>
            <w:vAlign w:val="center"/>
          </w:tcPr>
          <w:p>
            <w:pPr>
              <w:jc w:val="center"/>
              <w:rPr>
                <w:rFonts w:ascii="宋体" w:hAnsi="宋体" w:eastAsia="宋体" w:cs="仿宋"/>
                <w:szCs w:val="21"/>
              </w:rPr>
            </w:pPr>
          </w:p>
        </w:tc>
        <w:tc>
          <w:tcPr>
            <w:tcW w:w="1417"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与整体战略的关系</w:t>
            </w:r>
          </w:p>
        </w:tc>
        <w:tc>
          <w:tcPr>
            <w:tcW w:w="992" w:type="dxa"/>
            <w:vAlign w:val="center"/>
          </w:tcPr>
          <w:p>
            <w:pPr>
              <w:jc w:val="center"/>
              <w:rPr>
                <w:rFonts w:ascii="宋体" w:hAnsi="宋体" w:eastAsia="宋体" w:cs="仿宋"/>
                <w:szCs w:val="21"/>
              </w:rPr>
            </w:pPr>
            <w:r>
              <w:rPr>
                <w:rFonts w:hint="eastAsia" w:ascii="宋体" w:hAnsi="宋体" w:eastAsia="宋体" w:cs="仿宋"/>
                <w:szCs w:val="21"/>
              </w:rPr>
              <w:t>鼓励</w:t>
            </w:r>
          </w:p>
        </w:tc>
        <w:tc>
          <w:tcPr>
            <w:tcW w:w="6440" w:type="dxa"/>
            <w:vAlign w:val="center"/>
          </w:tcPr>
          <w:p>
            <w:pPr>
              <w:rPr>
                <w:rFonts w:ascii="宋体" w:hAnsi="宋体" w:eastAsia="宋体" w:cs="仿宋"/>
                <w:szCs w:val="21"/>
              </w:rPr>
            </w:pPr>
            <w:r>
              <w:rPr>
                <w:rFonts w:hint="eastAsia" w:ascii="宋体" w:hAnsi="宋体" w:eastAsia="宋体" w:cs="仿宋"/>
                <w:szCs w:val="21"/>
              </w:rPr>
              <w:t>指金融机构的环境和绿色金融相关战略与整体业务发展战略的关系。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restart"/>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治理结构</w:t>
            </w:r>
          </w:p>
        </w:tc>
        <w:tc>
          <w:tcPr>
            <w:tcW w:w="1417" w:type="dxa"/>
            <w:vMerge w:val="restart"/>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董事会层面</w:t>
            </w:r>
          </w:p>
        </w:tc>
        <w:tc>
          <w:tcPr>
            <w:tcW w:w="4111" w:type="dxa"/>
            <w:gridSpan w:val="3"/>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环境、绿色金融委员会设置</w:t>
            </w:r>
          </w:p>
        </w:tc>
        <w:tc>
          <w:tcPr>
            <w:tcW w:w="992" w:type="dxa"/>
            <w:vMerge w:val="restart"/>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vAlign w:val="center"/>
          </w:tcPr>
          <w:p>
            <w:pPr>
              <w:rPr>
                <w:rFonts w:ascii="宋体" w:hAnsi="宋体" w:eastAsia="宋体" w:cs="仿宋"/>
                <w:szCs w:val="21"/>
              </w:rPr>
            </w:pPr>
            <w:r>
              <w:rPr>
                <w:rFonts w:hint="eastAsia" w:ascii="宋体" w:hAnsi="宋体" w:eastAsia="宋体" w:cs="仿宋"/>
                <w:szCs w:val="21"/>
              </w:rPr>
              <w:t>董事会层面与</w:t>
            </w:r>
            <w:r>
              <w:rPr>
                <w:rFonts w:ascii="宋体" w:hAnsi="宋体" w:eastAsia="宋体" w:cs="仿宋"/>
                <w:szCs w:val="21"/>
              </w:rPr>
              <w:t>环境</w:t>
            </w:r>
            <w:r>
              <w:rPr>
                <w:rFonts w:hint="eastAsia" w:ascii="宋体" w:hAnsi="宋体" w:eastAsia="宋体" w:cs="仿宋"/>
                <w:szCs w:val="21"/>
              </w:rPr>
              <w:t>、</w:t>
            </w:r>
            <w:r>
              <w:rPr>
                <w:rFonts w:ascii="宋体" w:hAnsi="宋体" w:eastAsia="宋体" w:cs="仿宋"/>
                <w:szCs w:val="21"/>
              </w:rPr>
              <w:t>绿色金融</w:t>
            </w:r>
            <w:r>
              <w:rPr>
                <w:rFonts w:hint="eastAsia" w:ascii="宋体" w:hAnsi="宋体" w:eastAsia="宋体" w:cs="仿宋"/>
                <w:szCs w:val="21"/>
              </w:rPr>
              <w:t>相关的委员会设置情况及相关职责分工。法人金融机构强制披露，分支机构可披露其总行</w:t>
            </w:r>
            <w:r>
              <w:rPr>
                <w:rFonts w:ascii="宋体" w:hAnsi="宋体" w:eastAsia="宋体" w:cs="仿宋"/>
                <w:szCs w:val="21"/>
              </w:rPr>
              <w:t>/总公司情况或不披露。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董事会对环境、绿色金融相关议题的管理、监督和讨论</w:t>
            </w:r>
          </w:p>
        </w:tc>
        <w:tc>
          <w:tcPr>
            <w:tcW w:w="992" w:type="dxa"/>
            <w:vMerge w:val="continue"/>
            <w:vAlign w:val="center"/>
          </w:tcPr>
          <w:p>
            <w:pPr>
              <w:jc w:val="center"/>
              <w:rPr>
                <w:rFonts w:ascii="宋体" w:hAnsi="宋体" w:eastAsia="宋体" w:cs="仿宋"/>
                <w:szCs w:val="21"/>
              </w:rPr>
            </w:pPr>
          </w:p>
        </w:tc>
        <w:tc>
          <w:tcPr>
            <w:tcW w:w="6440" w:type="dxa"/>
            <w:vAlign w:val="center"/>
          </w:tcPr>
          <w:p>
            <w:pPr>
              <w:rPr>
                <w:rFonts w:ascii="宋体" w:hAnsi="宋体" w:eastAsia="宋体" w:cs="仿宋"/>
                <w:szCs w:val="21"/>
              </w:rPr>
            </w:pPr>
            <w:r>
              <w:rPr>
                <w:rFonts w:hint="eastAsia" w:ascii="宋体" w:hAnsi="宋体" w:eastAsia="宋体" w:cs="仿宋"/>
                <w:szCs w:val="21"/>
              </w:rPr>
              <w:t>董事会在报告年度内对环境相关风险和机遇的分析与判断，对环境</w:t>
            </w:r>
            <w:r>
              <w:rPr>
                <w:rFonts w:ascii="宋体" w:hAnsi="宋体" w:eastAsia="宋体" w:cs="仿宋"/>
                <w:szCs w:val="21"/>
              </w:rPr>
              <w:t>和</w:t>
            </w:r>
            <w:r>
              <w:rPr>
                <w:rFonts w:hint="eastAsia" w:ascii="宋体" w:hAnsi="宋体" w:eastAsia="宋体" w:cs="仿宋"/>
                <w:szCs w:val="21"/>
              </w:rPr>
              <w:t>绿色金融相关议题的管理、监督与讨论等内容。</w:t>
            </w:r>
          </w:p>
          <w:p>
            <w:pPr>
              <w:rPr>
                <w:rFonts w:ascii="宋体" w:hAnsi="宋体" w:eastAsia="宋体" w:cs="仿宋"/>
                <w:szCs w:val="21"/>
              </w:rPr>
            </w:pPr>
            <w:r>
              <w:rPr>
                <w:rFonts w:hint="eastAsia" w:ascii="宋体" w:hAnsi="宋体" w:eastAsia="宋体" w:cs="仿宋"/>
                <w:szCs w:val="21"/>
              </w:rPr>
              <w:t>法人金融机构强制披露，分支机构可披露其总行</w:t>
            </w:r>
            <w:r>
              <w:rPr>
                <w:rFonts w:ascii="宋体" w:hAnsi="宋体" w:eastAsia="宋体" w:cs="仿宋"/>
                <w:szCs w:val="21"/>
              </w:rPr>
              <w:t>/总公司情况或不披露。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shd w:val="clear" w:color="auto" w:fill="auto"/>
            <w:vAlign w:val="center"/>
          </w:tcPr>
          <w:p>
            <w:pPr>
              <w:jc w:val="center"/>
              <w:rPr>
                <w:rFonts w:ascii="宋体" w:hAnsi="宋体" w:eastAsia="宋体" w:cs="仿宋"/>
                <w:szCs w:val="21"/>
              </w:rPr>
            </w:pPr>
          </w:p>
        </w:tc>
        <w:tc>
          <w:tcPr>
            <w:tcW w:w="1417" w:type="dxa"/>
            <w:vMerge w:val="restart"/>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高级管理层</w:t>
            </w:r>
          </w:p>
        </w:tc>
        <w:tc>
          <w:tcPr>
            <w:tcW w:w="4111" w:type="dxa"/>
            <w:gridSpan w:val="3"/>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环境、绿色金融管理职位</w:t>
            </w:r>
          </w:p>
        </w:tc>
        <w:tc>
          <w:tcPr>
            <w:tcW w:w="992" w:type="dxa"/>
            <w:vMerge w:val="restart"/>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vAlign w:val="center"/>
          </w:tcPr>
          <w:p>
            <w:pPr>
              <w:rPr>
                <w:rFonts w:ascii="宋体" w:hAnsi="宋体" w:eastAsia="宋体" w:cs="仿宋"/>
                <w:szCs w:val="21"/>
              </w:rPr>
            </w:pPr>
            <w:r>
              <w:rPr>
                <w:rFonts w:hint="eastAsia" w:ascii="宋体" w:hAnsi="宋体" w:eastAsia="宋体" w:cs="仿宋"/>
                <w:szCs w:val="21"/>
              </w:rPr>
              <w:t>金融机构负责管理环境、绿色金融相关事务的管理职位、主要职责、报告路线等。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shd w:val="clear" w:color="auto" w:fill="auto"/>
            <w:vAlign w:val="center"/>
          </w:tcPr>
          <w:p>
            <w:pPr>
              <w:jc w:val="center"/>
              <w:rPr>
                <w:rFonts w:ascii="宋体" w:hAnsi="宋体" w:eastAsia="宋体" w:cs="仿宋"/>
                <w:szCs w:val="21"/>
              </w:rPr>
            </w:pPr>
          </w:p>
        </w:tc>
        <w:tc>
          <w:tcPr>
            <w:tcW w:w="1417"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环境、绿色金融相关内设机构、工作机制与流程</w:t>
            </w:r>
          </w:p>
        </w:tc>
        <w:tc>
          <w:tcPr>
            <w:tcW w:w="992" w:type="dxa"/>
            <w:vMerge w:val="continue"/>
            <w:vAlign w:val="center"/>
          </w:tcPr>
          <w:p>
            <w:pPr>
              <w:jc w:val="center"/>
              <w:rPr>
                <w:rFonts w:ascii="宋体" w:hAnsi="宋体" w:eastAsia="宋体" w:cs="仿宋"/>
                <w:szCs w:val="21"/>
              </w:rPr>
            </w:pPr>
          </w:p>
        </w:tc>
        <w:tc>
          <w:tcPr>
            <w:tcW w:w="6440" w:type="dxa"/>
            <w:vAlign w:val="center"/>
          </w:tcPr>
          <w:p>
            <w:pPr>
              <w:rPr>
                <w:rFonts w:ascii="宋体" w:hAnsi="宋体" w:eastAsia="宋体" w:cs="仿宋"/>
                <w:szCs w:val="21"/>
              </w:rPr>
            </w:pPr>
            <w:r>
              <w:rPr>
                <w:rFonts w:hint="eastAsia" w:ascii="宋体" w:hAnsi="宋体" w:eastAsia="宋体" w:cs="仿宋"/>
                <w:szCs w:val="21"/>
              </w:rPr>
              <w:t>高级管理层中设置的环境、绿色金融相关委员会等内设机构及其工作机制与流程。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shd w:val="clear" w:color="auto" w:fill="auto"/>
            <w:vAlign w:val="center"/>
          </w:tcPr>
          <w:p>
            <w:pPr>
              <w:jc w:val="center"/>
              <w:rPr>
                <w:rFonts w:ascii="宋体" w:hAnsi="宋体" w:eastAsia="宋体" w:cs="仿宋"/>
                <w:szCs w:val="21"/>
              </w:rPr>
            </w:pPr>
          </w:p>
        </w:tc>
        <w:tc>
          <w:tcPr>
            <w:tcW w:w="1417" w:type="dxa"/>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专业部门层面</w:t>
            </w:r>
          </w:p>
        </w:tc>
        <w:tc>
          <w:tcPr>
            <w:tcW w:w="4111" w:type="dxa"/>
            <w:gridSpan w:val="3"/>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绿色金融相关工作落实情况</w:t>
            </w:r>
          </w:p>
        </w:tc>
        <w:tc>
          <w:tcPr>
            <w:tcW w:w="992" w:type="dxa"/>
            <w:vMerge w:val="continue"/>
            <w:vAlign w:val="center"/>
          </w:tcPr>
          <w:p>
            <w:pPr>
              <w:jc w:val="center"/>
              <w:rPr>
                <w:rFonts w:ascii="宋体" w:hAnsi="宋体" w:eastAsia="宋体" w:cs="仿宋"/>
                <w:szCs w:val="21"/>
              </w:rPr>
            </w:pPr>
          </w:p>
        </w:tc>
        <w:tc>
          <w:tcPr>
            <w:tcW w:w="6440" w:type="dxa"/>
            <w:vAlign w:val="center"/>
          </w:tcPr>
          <w:p>
            <w:pPr>
              <w:rPr>
                <w:rFonts w:ascii="宋体" w:hAnsi="宋体" w:eastAsia="宋体" w:cs="仿宋"/>
                <w:szCs w:val="21"/>
              </w:rPr>
            </w:pPr>
            <w:r>
              <w:rPr>
                <w:rFonts w:hint="eastAsia" w:ascii="宋体" w:hAnsi="宋体" w:eastAsia="宋体" w:cs="仿宋"/>
                <w:szCs w:val="21"/>
              </w:rPr>
              <w:t>金融机构专业部门绿色金融相关工作情况包括：</w:t>
            </w:r>
          </w:p>
          <w:p>
            <w:pPr>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 xml:space="preserve"> </w:t>
            </w:r>
            <w:r>
              <w:rPr>
                <w:rFonts w:hint="eastAsia" w:ascii="宋体" w:hAnsi="宋体" w:eastAsia="宋体" w:cs="仿宋"/>
                <w:szCs w:val="21"/>
              </w:rPr>
              <w:t>（如有）绿色金融专</w:t>
            </w:r>
            <w:r>
              <w:rPr>
                <w:rFonts w:ascii="宋体" w:hAnsi="宋体" w:eastAsia="宋体" w:cs="仿宋"/>
                <w:szCs w:val="21"/>
              </w:rPr>
              <w:t>职</w:t>
            </w:r>
            <w:r>
              <w:rPr>
                <w:rFonts w:hint="eastAsia" w:ascii="宋体" w:hAnsi="宋体" w:eastAsia="宋体" w:cs="仿宋"/>
                <w:szCs w:val="21"/>
              </w:rPr>
              <w:t>部门设置情况，专职员工数量，主要职责，总行可披露设置了绿色金融专</w:t>
            </w:r>
            <w:r>
              <w:rPr>
                <w:rFonts w:ascii="宋体" w:hAnsi="宋体" w:eastAsia="宋体" w:cs="仿宋"/>
                <w:szCs w:val="21"/>
              </w:rPr>
              <w:t>职</w:t>
            </w:r>
            <w:r>
              <w:rPr>
                <w:rFonts w:hint="eastAsia" w:ascii="宋体" w:hAnsi="宋体" w:eastAsia="宋体" w:cs="仿宋"/>
                <w:szCs w:val="21"/>
              </w:rPr>
              <w:t>部门的分支机构数量等；</w:t>
            </w:r>
          </w:p>
          <w:p>
            <w:pPr>
              <w:rPr>
                <w:rFonts w:ascii="宋体" w:hAnsi="宋体" w:eastAsia="宋体" w:cs="仿宋"/>
                <w:szCs w:val="21"/>
              </w:rPr>
            </w:pPr>
            <w:r>
              <w:rPr>
                <w:rFonts w:ascii="宋体" w:hAnsi="宋体" w:eastAsia="宋体" w:cs="仿宋"/>
                <w:szCs w:val="21"/>
              </w:rPr>
              <w:t xml:space="preserve">- </w:t>
            </w:r>
            <w:r>
              <w:rPr>
                <w:rFonts w:hint="eastAsia" w:ascii="宋体" w:hAnsi="宋体" w:eastAsia="宋体" w:cs="仿宋"/>
                <w:szCs w:val="21"/>
              </w:rPr>
              <w:t>（如有）绿色金融专营机构（如绿色支行）设置情况，设立时间，专职员工数量等；</w:t>
            </w:r>
          </w:p>
          <w:p>
            <w:pPr>
              <w:rPr>
                <w:rFonts w:ascii="宋体" w:hAnsi="宋体" w:eastAsia="宋体" w:cs="仿宋"/>
                <w:szCs w:val="21"/>
              </w:rPr>
            </w:pPr>
            <w:r>
              <w:rPr>
                <w:rFonts w:ascii="宋体" w:hAnsi="宋体" w:eastAsia="宋体" w:cs="仿宋"/>
                <w:szCs w:val="21"/>
              </w:rPr>
              <w:t xml:space="preserve">- </w:t>
            </w:r>
            <w:r>
              <w:rPr>
                <w:rFonts w:hint="eastAsia" w:ascii="宋体" w:hAnsi="宋体" w:eastAsia="宋体" w:cs="仿宋"/>
                <w:szCs w:val="21"/>
              </w:rPr>
              <w:t>现有部门与环境管理、绿色金融相关的职责分工情况。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restart"/>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政策制度</w:t>
            </w:r>
          </w:p>
        </w:tc>
        <w:tc>
          <w:tcPr>
            <w:tcW w:w="1417" w:type="dxa"/>
            <w:vMerge w:val="restart"/>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内部政策</w:t>
            </w:r>
          </w:p>
        </w:tc>
        <w:tc>
          <w:tcPr>
            <w:tcW w:w="4111" w:type="dxa"/>
            <w:gridSpan w:val="3"/>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现行的环境、绿色金融相关政策制度</w:t>
            </w:r>
          </w:p>
        </w:tc>
        <w:tc>
          <w:tcPr>
            <w:tcW w:w="992" w:type="dxa"/>
            <w:vMerge w:val="restart"/>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vMerge w:val="restart"/>
            <w:vAlign w:val="center"/>
          </w:tcPr>
          <w:p>
            <w:pPr>
              <w:rPr>
                <w:rFonts w:ascii="宋体" w:hAnsi="宋体" w:eastAsia="宋体" w:cs="仿宋"/>
                <w:szCs w:val="21"/>
              </w:rPr>
            </w:pPr>
            <w:r>
              <w:rPr>
                <w:rFonts w:hint="eastAsia" w:ascii="宋体" w:hAnsi="宋体" w:eastAsia="宋体" w:cs="仿宋"/>
                <w:szCs w:val="21"/>
              </w:rPr>
              <w:t>金融机构应披露现行有效的相关政策制度文件，包括文件名、发文字号、主要内容及执行成效等信息。其中：</w:t>
            </w:r>
          </w:p>
          <w:p>
            <w:pPr>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 xml:space="preserve"> </w:t>
            </w:r>
            <w:r>
              <w:rPr>
                <w:rFonts w:hint="eastAsia" w:ascii="宋体" w:hAnsi="宋体" w:eastAsia="宋体" w:cs="仿宋"/>
                <w:szCs w:val="21"/>
              </w:rPr>
              <w:t>银行应披露绿色信贷管理模式、管理制度和统计制度，鼓励披露绿色债券管理模式、管理制度及统计制度；</w:t>
            </w:r>
          </w:p>
          <w:p>
            <w:pPr>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 xml:space="preserve"> 非存款类银行业金融机构应披露其绿色投融资策略</w:t>
            </w:r>
            <w:r>
              <w:rPr>
                <w:rFonts w:hint="eastAsia" w:ascii="宋体" w:hAnsi="宋体" w:eastAsia="宋体" w:cs="仿宋"/>
                <w:szCs w:val="21"/>
              </w:rPr>
              <w:t>；</w:t>
            </w:r>
          </w:p>
          <w:p>
            <w:pPr>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 xml:space="preserve"> </w:t>
            </w:r>
            <w:r>
              <w:rPr>
                <w:rFonts w:hint="eastAsia" w:ascii="宋体" w:hAnsi="宋体" w:eastAsia="宋体" w:cs="仿宋"/>
                <w:szCs w:val="21"/>
              </w:rPr>
              <w:t>保险业金融机构应披露保险资金绿色投资制度，包括保险资金用于绿色投资的策略、方向、比重、风险管控等要求；</w:t>
            </w:r>
          </w:p>
          <w:p>
            <w:pPr>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 xml:space="preserve"> </w:t>
            </w:r>
            <w:r>
              <w:rPr>
                <w:rFonts w:hint="eastAsia" w:ascii="宋体" w:hAnsi="宋体" w:eastAsia="宋体" w:cs="仿宋"/>
                <w:szCs w:val="21"/>
              </w:rPr>
              <w:t>证券公司、基金管理公司及前述机构依法设立从事资产管理业务的子公司应披露绿色投资管理制度，包括不限于绿色投资策略，制定的与被投资对象就绿色投资事项进行沟通的机制，参与并督促被投资对象环境信息披露、碳排放治理和环境绩效改善提升的机制等；</w:t>
            </w:r>
          </w:p>
          <w:p>
            <w:pPr>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 xml:space="preserve"> </w:t>
            </w:r>
            <w:r>
              <w:rPr>
                <w:rFonts w:hint="eastAsia" w:ascii="宋体" w:hAnsi="宋体" w:eastAsia="宋体" w:cs="仿宋"/>
                <w:szCs w:val="21"/>
              </w:rPr>
              <w:t>各业态金融机构应披露绿色统计制度、绿色投资评估制度等其他环境、绿色金融相关政策。</w:t>
            </w:r>
          </w:p>
          <w:p>
            <w:pPr>
              <w:rPr>
                <w:rFonts w:ascii="宋体" w:hAnsi="宋体" w:eastAsia="宋体" w:cs="仿宋"/>
                <w:szCs w:val="21"/>
              </w:rPr>
            </w:pPr>
            <w:r>
              <w:rPr>
                <w:rFonts w:ascii="宋体" w:hAnsi="宋体" w:eastAsia="宋体" w:cs="仿宋"/>
                <w:szCs w:val="21"/>
              </w:rPr>
              <w:t>金融机构应单独列示报告期内新修订或新增的制度</w:t>
            </w:r>
            <w:r>
              <w:rPr>
                <w:rFonts w:hint="eastAsia" w:ascii="宋体" w:hAnsi="宋体" w:eastAsia="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报告期内实施的新政策</w:t>
            </w:r>
          </w:p>
        </w:tc>
        <w:tc>
          <w:tcPr>
            <w:tcW w:w="992" w:type="dxa"/>
            <w:vMerge w:val="continue"/>
            <w:vAlign w:val="center"/>
          </w:tcPr>
          <w:p>
            <w:pPr>
              <w:jc w:val="center"/>
              <w:rPr>
                <w:rFonts w:ascii="宋体" w:hAnsi="宋体" w:eastAsia="宋体" w:cs="仿宋"/>
                <w:szCs w:val="21"/>
              </w:rPr>
            </w:pPr>
          </w:p>
        </w:tc>
        <w:tc>
          <w:tcPr>
            <w:tcW w:w="6440" w:type="dxa"/>
            <w:vMerge w:val="continue"/>
            <w:vAlign w:val="center"/>
          </w:tcPr>
          <w:p>
            <w:pPr>
              <w:rPr>
                <w:rFonts w:ascii="宋体" w:hAnsi="宋体" w:eastAsia="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restart"/>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外部政策</w:t>
            </w:r>
          </w:p>
        </w:tc>
        <w:tc>
          <w:tcPr>
            <w:tcW w:w="4111" w:type="dxa"/>
            <w:gridSpan w:val="3"/>
            <w:vMerge w:val="restart"/>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遵循的外部环境、气候及绿色金融相关政策法规情况</w:t>
            </w:r>
          </w:p>
        </w:tc>
        <w:tc>
          <w:tcPr>
            <w:tcW w:w="992" w:type="dxa"/>
            <w:vAlign w:val="center"/>
          </w:tcPr>
          <w:p>
            <w:pPr>
              <w:jc w:val="center"/>
              <w:rPr>
                <w:rFonts w:ascii="宋体" w:hAnsi="宋体" w:eastAsia="宋体" w:cs="仿宋"/>
                <w:szCs w:val="21"/>
              </w:rPr>
            </w:pPr>
            <w:r>
              <w:rPr>
                <w:rFonts w:ascii="宋体" w:hAnsi="宋体" w:eastAsia="宋体" w:cs="仿宋"/>
                <w:szCs w:val="21"/>
              </w:rPr>
              <w:t>强制</w:t>
            </w:r>
          </w:p>
        </w:tc>
        <w:tc>
          <w:tcPr>
            <w:tcW w:w="6440" w:type="dxa"/>
            <w:vAlign w:val="center"/>
          </w:tcPr>
          <w:p>
            <w:pPr>
              <w:rPr>
                <w:rFonts w:ascii="宋体" w:hAnsi="宋体" w:eastAsia="宋体" w:cs="仿宋"/>
                <w:szCs w:val="21"/>
              </w:rPr>
            </w:pPr>
            <w:r>
              <w:rPr>
                <w:rFonts w:hint="eastAsia" w:ascii="宋体" w:hAnsi="宋体" w:eastAsia="宋体" w:cs="仿宋"/>
                <w:szCs w:val="21"/>
              </w:rPr>
              <w:t>包括</w:t>
            </w:r>
            <w:r>
              <w:rPr>
                <w:rFonts w:ascii="宋体" w:hAnsi="宋体" w:eastAsia="宋体" w:cs="仿宋"/>
                <w:szCs w:val="21"/>
              </w:rPr>
              <w:t>国际公约、国家及所在地区的环境或</w:t>
            </w:r>
            <w:r>
              <w:rPr>
                <w:rFonts w:hint="eastAsia" w:ascii="宋体" w:hAnsi="宋体" w:eastAsia="宋体" w:cs="仿宋"/>
                <w:szCs w:val="21"/>
              </w:rPr>
              <w:t>绿色金融相关</w:t>
            </w:r>
            <w:r>
              <w:rPr>
                <w:rFonts w:ascii="宋体" w:hAnsi="宋体" w:eastAsia="宋体" w:cs="仿宋"/>
                <w:szCs w:val="21"/>
              </w:rPr>
              <w:t>政策</w:t>
            </w:r>
            <w:r>
              <w:rPr>
                <w:rFonts w:hint="eastAsia" w:ascii="宋体" w:hAnsi="宋体" w:eastAsia="宋体" w:cs="仿宋"/>
                <w:szCs w:val="21"/>
              </w:rPr>
              <w:t>，应说明相关政策与</w:t>
            </w:r>
            <w:r>
              <w:rPr>
                <w:rFonts w:ascii="宋体" w:hAnsi="宋体" w:eastAsia="宋体" w:cs="仿宋"/>
                <w:szCs w:val="21"/>
              </w:rPr>
              <w:t>机构的相关性，及其可能对机构产生的影响</w:t>
            </w:r>
            <w:r>
              <w:rPr>
                <w:rFonts w:hint="eastAsia" w:ascii="宋体" w:hAnsi="宋体" w:eastAsia="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vMerge w:val="continue"/>
            <w:shd w:val="clear" w:color="auto" w:fill="auto"/>
            <w:tcMar>
              <w:top w:w="28" w:type="dxa"/>
              <w:left w:w="108" w:type="dxa"/>
              <w:bottom w:w="28" w:type="dxa"/>
              <w:right w:w="108" w:type="dxa"/>
            </w:tcMar>
            <w:vAlign w:val="center"/>
          </w:tcPr>
          <w:p>
            <w:pPr>
              <w:jc w:val="center"/>
              <w:rPr>
                <w:rFonts w:ascii="宋体" w:hAnsi="宋体" w:eastAsia="宋体" w:cs="仿宋"/>
                <w:szCs w:val="21"/>
              </w:rPr>
            </w:pPr>
          </w:p>
        </w:tc>
        <w:tc>
          <w:tcPr>
            <w:tcW w:w="992" w:type="dxa"/>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vAlign w:val="center"/>
          </w:tcPr>
          <w:p>
            <w:pPr>
              <w:rPr>
                <w:rFonts w:ascii="宋体" w:hAnsi="宋体" w:eastAsia="宋体" w:cs="仿宋"/>
                <w:szCs w:val="21"/>
              </w:rPr>
            </w:pPr>
            <w:r>
              <w:rPr>
                <w:rFonts w:hint="eastAsia" w:ascii="宋体" w:hAnsi="宋体" w:eastAsia="宋体" w:cs="仿宋"/>
                <w:szCs w:val="21"/>
              </w:rPr>
              <w:t>披露报告期内金融机构受到的生态环境、绿色金融相关的行政处罚、司法判决等。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加入国内外相关倡议组织的情况</w:t>
            </w:r>
          </w:p>
        </w:tc>
        <w:tc>
          <w:tcPr>
            <w:tcW w:w="992" w:type="dxa"/>
            <w:vAlign w:val="center"/>
          </w:tcPr>
          <w:p>
            <w:pPr>
              <w:jc w:val="center"/>
              <w:rPr>
                <w:rFonts w:ascii="宋体" w:hAnsi="宋体" w:eastAsia="宋体" w:cs="仿宋"/>
                <w:szCs w:val="21"/>
              </w:rPr>
            </w:pPr>
            <w:r>
              <w:rPr>
                <w:rFonts w:hint="eastAsia" w:ascii="宋体" w:hAnsi="宋体" w:eastAsia="宋体" w:cs="仿宋"/>
                <w:szCs w:val="21"/>
              </w:rPr>
              <w:t>鼓励</w:t>
            </w:r>
          </w:p>
        </w:tc>
        <w:tc>
          <w:tcPr>
            <w:tcW w:w="6440" w:type="dxa"/>
            <w:vAlign w:val="center"/>
          </w:tcPr>
          <w:p>
            <w:pPr>
              <w:rPr>
                <w:rFonts w:ascii="宋体" w:hAnsi="宋体" w:eastAsia="宋体" w:cs="仿宋"/>
                <w:szCs w:val="21"/>
              </w:rPr>
            </w:pPr>
            <w:r>
              <w:rPr>
                <w:rFonts w:hint="eastAsia" w:ascii="宋体" w:hAnsi="宋体" w:eastAsia="宋体" w:cs="仿宋"/>
                <w:szCs w:val="21"/>
              </w:rPr>
              <w:t>（如有）包括但不限于赤道原则、负责任投资原则(</w:t>
            </w:r>
            <w:r>
              <w:rPr>
                <w:rFonts w:ascii="宋体" w:hAnsi="宋体" w:eastAsia="宋体" w:cs="仿宋"/>
                <w:szCs w:val="21"/>
              </w:rPr>
              <w:t>PRI)</w:t>
            </w:r>
            <w:r>
              <w:rPr>
                <w:rFonts w:hint="eastAsia" w:ascii="宋体" w:hAnsi="宋体" w:eastAsia="宋体" w:cs="仿宋"/>
                <w:szCs w:val="21"/>
              </w:rPr>
              <w:t>、负责任银行原则(</w:t>
            </w:r>
            <w:r>
              <w:rPr>
                <w:rFonts w:ascii="宋体" w:hAnsi="宋体" w:eastAsia="宋体" w:cs="仿宋"/>
                <w:szCs w:val="21"/>
              </w:rPr>
              <w:t>PRB)</w:t>
            </w:r>
            <w:r>
              <w:rPr>
                <w:rFonts w:hint="eastAsia" w:ascii="宋体" w:hAnsi="宋体" w:eastAsia="宋体" w:cs="仿宋"/>
                <w:szCs w:val="21"/>
              </w:rPr>
              <w:t>、气候相关财务信息披露工作组（T</w:t>
            </w:r>
            <w:r>
              <w:rPr>
                <w:rFonts w:ascii="宋体" w:hAnsi="宋体" w:eastAsia="宋体" w:cs="仿宋"/>
                <w:szCs w:val="21"/>
              </w:rPr>
              <w:t>CFD</w:t>
            </w:r>
            <w:r>
              <w:rPr>
                <w:rFonts w:hint="eastAsia" w:ascii="宋体" w:hAnsi="宋体" w:eastAsia="宋体" w:cs="仿宋"/>
                <w:szCs w:val="21"/>
              </w:rPr>
              <w:t>）、“一带一路”绿色投资原则、科学碳目标（S</w:t>
            </w:r>
            <w:r>
              <w:rPr>
                <w:rFonts w:ascii="宋体" w:hAnsi="宋体" w:eastAsia="宋体" w:cs="仿宋"/>
                <w:szCs w:val="21"/>
              </w:rPr>
              <w:t>BT</w:t>
            </w:r>
            <w:r>
              <w:rPr>
                <w:rFonts w:hint="eastAsia" w:ascii="宋体" w:hAnsi="宋体" w:eastAsia="宋体" w:cs="仿宋"/>
                <w:szCs w:val="21"/>
              </w:rPr>
              <w:t>i）等倡议组织。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restart"/>
            <w:tcBorders>
              <w:top w:val="single" w:color="auto" w:sz="4" w:space="0"/>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环境风险管理</w:t>
            </w:r>
          </w:p>
        </w:tc>
        <w:tc>
          <w:tcPr>
            <w:tcW w:w="1417" w:type="dxa"/>
            <w:vMerge w:val="restart"/>
            <w:tcBorders>
              <w:top w:val="single" w:color="auto" w:sz="4" w:space="0"/>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环境风险及机遇管理机制</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环境风险的识别、评估和监控流程</w:t>
            </w:r>
          </w:p>
        </w:tc>
        <w:tc>
          <w:tcPr>
            <w:tcW w:w="992"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金融机构采取的识别、评估和持续监控重大环境风险的措施，包括相关工作流程、使用的评估指标、考虑的环境议题和利益相关方等。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业务风险管理流程中对环境风险和机遇的体现</w:t>
            </w:r>
          </w:p>
        </w:tc>
        <w:tc>
          <w:tcPr>
            <w:tcW w:w="992" w:type="dxa"/>
            <w:vMerge w:val="continue"/>
            <w:tcBorders>
              <w:left w:val="single" w:color="auto" w:sz="4" w:space="0"/>
              <w:right w:val="single" w:color="auto" w:sz="4" w:space="0"/>
            </w:tcBorders>
            <w:vAlign w:val="center"/>
          </w:tcPr>
          <w:p>
            <w:pPr>
              <w:jc w:val="center"/>
              <w:rPr>
                <w:rFonts w:ascii="宋体" w:hAnsi="宋体" w:eastAsia="宋体" w:cs="仿宋"/>
                <w:szCs w:val="21"/>
              </w:rPr>
            </w:pP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指金融机构在对投融资对象进行尽职调查、投融资决策、投（贷）后管理等业务风险管理流程中纳入环境风险和机遇因素的方法和相关工作流程。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针对环境相关风险暴露的应对预案</w:t>
            </w:r>
          </w:p>
        </w:tc>
        <w:tc>
          <w:tcPr>
            <w:tcW w:w="992" w:type="dxa"/>
            <w:vMerge w:val="continue"/>
            <w:tcBorders>
              <w:left w:val="single" w:color="auto" w:sz="4" w:space="0"/>
              <w:right w:val="single" w:color="auto" w:sz="4" w:space="0"/>
            </w:tcBorders>
            <w:vAlign w:val="center"/>
          </w:tcPr>
          <w:p>
            <w:pPr>
              <w:jc w:val="center"/>
              <w:rPr>
                <w:rFonts w:ascii="宋体" w:hAnsi="宋体" w:eastAsia="宋体" w:cs="仿宋"/>
                <w:szCs w:val="21"/>
              </w:rPr>
            </w:pPr>
          </w:p>
        </w:tc>
        <w:tc>
          <w:tcPr>
            <w:tcW w:w="6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Cs w:val="21"/>
              </w:rPr>
            </w:pPr>
            <w:r>
              <w:rPr>
                <w:rFonts w:hint="eastAsia"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restart"/>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利益相关方关注的重大环境议题</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识别、评估利益相关方关注的重大环境议题</w:t>
            </w:r>
          </w:p>
        </w:tc>
        <w:tc>
          <w:tcPr>
            <w:tcW w:w="992" w:type="dxa"/>
            <w:vMerge w:val="restart"/>
            <w:tcBorders>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鼓励</w:t>
            </w:r>
          </w:p>
        </w:tc>
        <w:tc>
          <w:tcPr>
            <w:tcW w:w="644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仿宋"/>
                <w:szCs w:val="21"/>
              </w:rPr>
            </w:pPr>
            <w:r>
              <w:rPr>
                <w:rFonts w:hint="eastAsia"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对相关环境议题的管理方针和具体措施</w:t>
            </w:r>
          </w:p>
        </w:tc>
        <w:tc>
          <w:tcPr>
            <w:tcW w:w="992"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仿宋"/>
                <w:szCs w:val="21"/>
              </w:rPr>
            </w:pPr>
          </w:p>
        </w:tc>
        <w:tc>
          <w:tcPr>
            <w:tcW w:w="6440" w:type="dxa"/>
            <w:vMerge w:val="continue"/>
            <w:tcBorders>
              <w:left w:val="single" w:color="auto" w:sz="4" w:space="0"/>
              <w:bottom w:val="single" w:color="auto" w:sz="4" w:space="0"/>
              <w:right w:val="single" w:color="auto" w:sz="4" w:space="0"/>
            </w:tcBorders>
            <w:vAlign w:val="center"/>
          </w:tcPr>
          <w:p>
            <w:pPr>
              <w:rPr>
                <w:rFonts w:ascii="宋体" w:hAnsi="宋体" w:eastAsia="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2"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restart"/>
            <w:tcBorders>
              <w:top w:val="single" w:color="auto" w:sz="4" w:space="0"/>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识别的环境风险和机遇</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识别的短期、中期、长期环境相关风险和机遇</w:t>
            </w:r>
          </w:p>
        </w:tc>
        <w:tc>
          <w:tcPr>
            <w:tcW w:w="992"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短期、中期、长期环境与气候风险和机遇分别指1</w:t>
            </w:r>
            <w:r>
              <w:rPr>
                <w:rFonts w:ascii="宋体" w:hAnsi="宋体" w:eastAsia="宋体" w:cs="仿宋"/>
                <w:szCs w:val="21"/>
              </w:rPr>
              <w:t>-3</w:t>
            </w:r>
            <w:r>
              <w:rPr>
                <w:rFonts w:hint="eastAsia" w:ascii="宋体" w:hAnsi="宋体" w:eastAsia="宋体" w:cs="仿宋"/>
                <w:szCs w:val="21"/>
              </w:rPr>
              <w:t>年、</w:t>
            </w:r>
            <w:r>
              <w:rPr>
                <w:rFonts w:ascii="宋体" w:hAnsi="宋体" w:eastAsia="宋体" w:cs="仿宋"/>
                <w:szCs w:val="21"/>
              </w:rPr>
              <w:t>3-7</w:t>
            </w:r>
            <w:r>
              <w:rPr>
                <w:rFonts w:hint="eastAsia" w:ascii="宋体" w:hAnsi="宋体" w:eastAsia="宋体" w:cs="仿宋"/>
                <w:szCs w:val="21"/>
              </w:rPr>
              <w:t>年、7年以上时间范围内，对金融机构及其客户具有实质性财务影响的环境相关风险和机遇因素。金融机构可参考T</w:t>
            </w:r>
            <w:r>
              <w:rPr>
                <w:rFonts w:ascii="宋体" w:hAnsi="宋体" w:eastAsia="宋体" w:cs="仿宋"/>
                <w:szCs w:val="21"/>
              </w:rPr>
              <w:t>CFD</w:t>
            </w:r>
            <w:r>
              <w:rPr>
                <w:rFonts w:hint="eastAsia" w:ascii="宋体" w:hAnsi="宋体" w:eastAsia="宋体" w:cs="仿宋"/>
                <w:szCs w:val="21"/>
              </w:rPr>
              <w:t>《气候相关财务信息披露工作组建议报告》中相关指引进行风险和机遇的分析和披露。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环境相关风险和机遇对战略、业务和财务规划的影响</w:t>
            </w:r>
          </w:p>
        </w:tc>
        <w:tc>
          <w:tcPr>
            <w:tcW w:w="992" w:type="dxa"/>
            <w:vMerge w:val="continue"/>
            <w:tcBorders>
              <w:left w:val="single" w:color="auto" w:sz="4" w:space="0"/>
              <w:right w:val="single" w:color="auto" w:sz="4" w:space="0"/>
            </w:tcBorders>
            <w:vAlign w:val="center"/>
          </w:tcPr>
          <w:p>
            <w:pPr>
              <w:jc w:val="center"/>
              <w:rPr>
                <w:rFonts w:ascii="宋体" w:hAnsi="宋体" w:eastAsia="宋体" w:cs="仿宋"/>
                <w:szCs w:val="21"/>
              </w:rPr>
            </w:pP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指环境和气候因素对金融机构的战略、业务和财务规划产生的实际和潜在影响。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rPr>
                <w:rFonts w:ascii="宋体" w:hAnsi="宋体" w:eastAsia="宋体" w:cs="仿宋"/>
                <w:szCs w:val="21"/>
              </w:rPr>
            </w:pPr>
            <w:r>
              <w:rPr>
                <w:rFonts w:hint="eastAsia" w:ascii="宋体" w:hAnsi="宋体" w:eastAsia="宋体" w:cs="仿宋"/>
                <w:szCs w:val="21"/>
              </w:rPr>
              <w:t>应对环境影响采取的措施和效果</w:t>
            </w:r>
          </w:p>
        </w:tc>
        <w:tc>
          <w:tcPr>
            <w:tcW w:w="992"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仿宋"/>
                <w:szCs w:val="21"/>
              </w:rPr>
            </w:pP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根据识别的环境相关风险和机遇，说明机构采取的应对措施和相关工作成效。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restart"/>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环境风险量化分析</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情景分析和压力测试开展情况及未来计划</w:t>
            </w:r>
          </w:p>
        </w:tc>
        <w:tc>
          <w:tcPr>
            <w:tcW w:w="992"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鼓励</w:t>
            </w: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情景分析指在不确定的情况下对未来事件导致的各种潜在结果进行分析和评价的过程；压力测试指将金融机构或资产组合置于设定的极端市场条件下，以检验其在关键市场变量突变压力下的表现。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2"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情景分析和压力测试采用的方法学、模型和工具</w:t>
            </w:r>
          </w:p>
        </w:tc>
        <w:tc>
          <w:tcPr>
            <w:tcW w:w="992" w:type="dxa"/>
            <w:vMerge w:val="continue"/>
            <w:tcBorders>
              <w:left w:val="single" w:color="auto" w:sz="4" w:space="0"/>
              <w:right w:val="single" w:color="auto" w:sz="4" w:space="0"/>
            </w:tcBorders>
            <w:vAlign w:val="center"/>
          </w:tcPr>
          <w:p>
            <w:pPr>
              <w:jc w:val="center"/>
              <w:rPr>
                <w:rFonts w:ascii="宋体" w:hAnsi="宋体" w:eastAsia="宋体" w:cs="仿宋"/>
                <w:szCs w:val="21"/>
              </w:rPr>
            </w:pP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鼓励金融机构说明应</w:t>
            </w:r>
            <w:r>
              <w:rPr>
                <w:rFonts w:ascii="宋体" w:hAnsi="宋体" w:eastAsia="宋体" w:cs="仿宋"/>
                <w:szCs w:val="21"/>
              </w:rPr>
              <w:t>其</w:t>
            </w:r>
            <w:r>
              <w:rPr>
                <w:rFonts w:hint="eastAsia" w:ascii="宋体" w:hAnsi="宋体" w:eastAsia="宋体" w:cs="仿宋"/>
                <w:szCs w:val="21"/>
              </w:rPr>
              <w:t>情景分析和压力测试采用的理论方法学或模型说明，例如以财务传导模型、净现值法、资本定价模型等方法开展了环境压力测试。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情景分析和压力测试结论</w:t>
            </w:r>
          </w:p>
        </w:tc>
        <w:tc>
          <w:tcPr>
            <w:tcW w:w="992" w:type="dxa"/>
            <w:vMerge w:val="continue"/>
            <w:tcBorders>
              <w:left w:val="single" w:color="auto" w:sz="4" w:space="0"/>
              <w:right w:val="single" w:color="auto" w:sz="4" w:space="0"/>
            </w:tcBorders>
            <w:vAlign w:val="center"/>
          </w:tcPr>
          <w:p>
            <w:pPr>
              <w:jc w:val="center"/>
              <w:rPr>
                <w:rFonts w:ascii="宋体" w:hAnsi="宋体" w:eastAsia="宋体" w:cs="仿宋"/>
                <w:szCs w:val="21"/>
              </w:rPr>
            </w:pP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指通过情景分析和压力测试得</w:t>
            </w:r>
            <w:r>
              <w:rPr>
                <w:rFonts w:ascii="宋体" w:hAnsi="宋体" w:eastAsia="宋体" w:cs="仿宋"/>
                <w:szCs w:val="21"/>
              </w:rPr>
              <w:t>到的</w:t>
            </w:r>
            <w:r>
              <w:rPr>
                <w:rFonts w:hint="eastAsia" w:ascii="宋体" w:hAnsi="宋体" w:eastAsia="宋体" w:cs="仿宋"/>
                <w:szCs w:val="21"/>
              </w:rPr>
              <w:t>环境风险对金融机构资产所造成的影响程度，如对违约率、风险敞口等的影响。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情景分析和压力测试的实际应用效果</w:t>
            </w:r>
          </w:p>
        </w:tc>
        <w:tc>
          <w:tcPr>
            <w:tcW w:w="992"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仿宋"/>
                <w:szCs w:val="21"/>
              </w:rPr>
            </w:pP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指基于情景分析和压力测试，金融机构在环境风险管理方面的实际对策和应用成效。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restart"/>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经营活动的环境影响</w:t>
            </w:r>
          </w:p>
        </w:tc>
        <w:tc>
          <w:tcPr>
            <w:tcW w:w="1417" w:type="dxa"/>
            <w:vMerge w:val="restart"/>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经营活动能源消耗</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营业办公（固定源）消耗的化石能源</w:t>
            </w:r>
          </w:p>
        </w:tc>
        <w:tc>
          <w:tcPr>
            <w:tcW w:w="992" w:type="dxa"/>
            <w:tcBorders>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化石能源包括煤炭（吨）、柴油（升）、汽油（升）、天然气（立方米）等，金融机构应按照实际消耗的能源种类分</w:t>
            </w:r>
            <w:r>
              <w:rPr>
                <w:rFonts w:ascii="宋体" w:hAnsi="宋体" w:eastAsia="宋体" w:cs="仿宋"/>
                <w:szCs w:val="21"/>
              </w:rPr>
              <w:t>类</w:t>
            </w:r>
            <w:r>
              <w:rPr>
                <w:rFonts w:hint="eastAsia" w:ascii="宋体" w:hAnsi="宋体" w:eastAsia="宋体" w:cs="仿宋"/>
                <w:szCs w:val="21"/>
              </w:rPr>
              <w:t>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rPr>
                <w:rFonts w:ascii="宋体" w:hAnsi="宋体" w:eastAsia="宋体" w:cs="仿宋"/>
                <w:szCs w:val="21"/>
              </w:rPr>
            </w:pPr>
            <w:r>
              <w:rPr>
                <w:rFonts w:hint="eastAsia" w:ascii="宋体" w:hAnsi="宋体" w:eastAsia="宋体" w:cs="仿宋"/>
                <w:szCs w:val="21"/>
              </w:rPr>
              <w:t>自有交通工具（移动源）消耗的燃油</w:t>
            </w:r>
          </w:p>
        </w:tc>
        <w:tc>
          <w:tcPr>
            <w:tcW w:w="992" w:type="dxa"/>
            <w:tcBorders>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包括柴油（升）、汽油（升）等。金融机构可按照燃油费用支出或车辆行驶里程记录测算自有交通工具消耗的燃油。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自有采暖（制冷）设备消耗的化石能源</w:t>
            </w:r>
          </w:p>
        </w:tc>
        <w:tc>
          <w:tcPr>
            <w:tcW w:w="992" w:type="dxa"/>
            <w:vMerge w:val="restart"/>
            <w:tcBorders>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（如有）如金融机构自有采暖锅炉消耗的煤炭等，折算为吨标煤表示。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营业办公消耗的电力总量及人均用电量</w:t>
            </w:r>
          </w:p>
        </w:tc>
        <w:tc>
          <w:tcPr>
            <w:tcW w:w="992" w:type="dxa"/>
            <w:vMerge w:val="continue"/>
            <w:tcBorders>
              <w:left w:val="single" w:color="auto" w:sz="4" w:space="0"/>
              <w:right w:val="single" w:color="auto" w:sz="4" w:space="0"/>
            </w:tcBorders>
            <w:vAlign w:val="center"/>
          </w:tcPr>
          <w:p>
            <w:pPr>
              <w:jc w:val="center"/>
              <w:rPr>
                <w:rFonts w:ascii="宋体" w:hAnsi="宋体" w:eastAsia="宋体" w:cs="仿宋"/>
                <w:szCs w:val="21"/>
              </w:rPr>
            </w:pP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单位：千瓦时。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3"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购买的采暖（制冷）服务消耗的燃料</w:t>
            </w:r>
          </w:p>
        </w:tc>
        <w:tc>
          <w:tcPr>
            <w:tcW w:w="992" w:type="dxa"/>
            <w:vMerge w:val="continue"/>
            <w:tcBorders>
              <w:left w:val="single" w:color="auto" w:sz="4" w:space="0"/>
              <w:right w:val="single" w:color="auto" w:sz="4" w:space="0"/>
            </w:tcBorders>
            <w:vAlign w:val="center"/>
          </w:tcPr>
          <w:p>
            <w:pPr>
              <w:jc w:val="center"/>
              <w:rPr>
                <w:rFonts w:ascii="宋体" w:hAnsi="宋体" w:eastAsia="宋体" w:cs="仿宋"/>
                <w:szCs w:val="21"/>
              </w:rPr>
            </w:pPr>
          </w:p>
        </w:tc>
        <w:tc>
          <w:tcPr>
            <w:tcW w:w="6440" w:type="dxa"/>
            <w:tcBorders>
              <w:top w:val="single" w:color="auto" w:sz="4" w:space="0"/>
              <w:left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（如有）金融机构购买的采暖及制冷服务所产生的化石能源消耗，折算为吨标煤表示。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szCs w:val="21"/>
              </w:rPr>
              <w:t>雇员因差旅出行乘坐的交通工具消耗的能源</w:t>
            </w:r>
          </w:p>
        </w:tc>
        <w:tc>
          <w:tcPr>
            <w:tcW w:w="992"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仿宋"/>
                <w:szCs w:val="21"/>
              </w:rPr>
            </w:pP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指员工差旅出行乘坐高铁、飞机等公共交通工具消耗的能源总量，折算为吨标煤表示。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restart"/>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营业办公</w:t>
            </w:r>
          </w:p>
          <w:p>
            <w:pPr>
              <w:jc w:val="center"/>
              <w:rPr>
                <w:rFonts w:ascii="宋体" w:hAnsi="宋体" w:eastAsia="宋体" w:cs="仿宋"/>
                <w:szCs w:val="21"/>
              </w:rPr>
            </w:pPr>
            <w:r>
              <w:rPr>
                <w:rFonts w:hint="eastAsia" w:ascii="宋体" w:hAnsi="宋体" w:eastAsia="宋体" w:cs="仿宋"/>
                <w:szCs w:val="21"/>
              </w:rPr>
              <w:t>耗水</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耗水总量</w:t>
            </w:r>
          </w:p>
        </w:tc>
        <w:tc>
          <w:tcPr>
            <w:tcW w:w="992" w:type="dxa"/>
            <w:vMerge w:val="restart"/>
            <w:tcBorders>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vMerge w:val="restart"/>
            <w:tcBorders>
              <w:top w:val="single" w:color="auto" w:sz="4" w:space="0"/>
              <w:left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单位：吨。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人均耗水量</w:t>
            </w:r>
          </w:p>
        </w:tc>
        <w:tc>
          <w:tcPr>
            <w:tcW w:w="992"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仿宋"/>
                <w:szCs w:val="21"/>
              </w:rPr>
            </w:pPr>
          </w:p>
        </w:tc>
        <w:tc>
          <w:tcPr>
            <w:tcW w:w="6440" w:type="dxa"/>
            <w:vMerge w:val="continue"/>
            <w:tcBorders>
              <w:left w:val="single" w:color="auto" w:sz="4" w:space="0"/>
              <w:bottom w:val="single" w:color="auto" w:sz="4" w:space="0"/>
              <w:right w:val="single" w:color="auto" w:sz="4" w:space="0"/>
            </w:tcBorders>
            <w:vAlign w:val="center"/>
          </w:tcPr>
          <w:p>
            <w:pPr>
              <w:rPr>
                <w:rFonts w:ascii="宋体" w:hAnsi="宋体" w:eastAsia="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restart"/>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纸张消耗</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营业、办公纸张消耗总量</w:t>
            </w:r>
          </w:p>
        </w:tc>
        <w:tc>
          <w:tcPr>
            <w:tcW w:w="992" w:type="dxa"/>
            <w:tcBorders>
              <w:left w:val="single" w:color="auto" w:sz="4" w:space="0"/>
              <w:bottom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单位：吨。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回收纸用量及比例</w:t>
            </w:r>
          </w:p>
        </w:tc>
        <w:tc>
          <w:tcPr>
            <w:tcW w:w="992" w:type="dxa"/>
            <w:tcBorders>
              <w:left w:val="single" w:color="auto" w:sz="4" w:space="0"/>
              <w:bottom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鼓励</w:t>
            </w:r>
          </w:p>
        </w:tc>
        <w:tc>
          <w:tcPr>
            <w:tcW w:w="6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Cs w:val="21"/>
              </w:rPr>
            </w:pPr>
            <w:r>
              <w:rPr>
                <w:rFonts w:hint="eastAsia"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废弃物排放</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营业、办公场所的废弃物产生及处置情况</w:t>
            </w:r>
          </w:p>
        </w:tc>
        <w:tc>
          <w:tcPr>
            <w:tcW w:w="992" w:type="dxa"/>
            <w:tcBorders>
              <w:left w:val="single" w:color="auto" w:sz="4" w:space="0"/>
              <w:bottom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金融机构可按废弃物种类（如一般废弃物、废弃电子产品等）进行披露。单位：吨。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restart"/>
            <w:tcBorders>
              <w:top w:val="single" w:color="auto" w:sz="4" w:space="0"/>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温室气体排放</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直接温室气体排放总量（范围一）</w:t>
            </w:r>
          </w:p>
        </w:tc>
        <w:tc>
          <w:tcPr>
            <w:tcW w:w="992"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仿宋"/>
                <w:szCs w:val="21"/>
              </w:rPr>
            </w:pPr>
            <w:r>
              <w:rPr>
                <w:rFonts w:ascii="宋体" w:hAnsi="宋体" w:eastAsia="宋体" w:cs="仿宋"/>
                <w:szCs w:val="21"/>
              </w:rPr>
              <w:t>强制</w:t>
            </w:r>
          </w:p>
        </w:tc>
        <w:tc>
          <w:tcPr>
            <w:tcW w:w="6440" w:type="dxa"/>
            <w:tcBorders>
              <w:top w:val="single" w:color="auto" w:sz="4" w:space="0"/>
              <w:left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包括营业办公化石能源（煤、柴油、汽油、天然气）消耗产生的二氧化碳排放、自有</w:t>
            </w:r>
            <w:r>
              <w:rPr>
                <w:rFonts w:ascii="宋体" w:hAnsi="宋体" w:eastAsia="宋体" w:cs="仿宋"/>
                <w:szCs w:val="21"/>
              </w:rPr>
              <w:t>交通运输工具燃油</w:t>
            </w:r>
            <w:r>
              <w:rPr>
                <w:rFonts w:hint="eastAsia" w:ascii="宋体" w:hAnsi="宋体" w:eastAsia="宋体" w:cs="仿宋"/>
                <w:szCs w:val="21"/>
              </w:rPr>
              <w:t>（柴油、汽油）</w:t>
            </w:r>
            <w:r>
              <w:rPr>
                <w:rFonts w:ascii="宋体" w:hAnsi="宋体" w:eastAsia="宋体" w:cs="仿宋"/>
                <w:szCs w:val="21"/>
              </w:rPr>
              <w:t>消耗产生的二氧化碳排放</w:t>
            </w:r>
            <w:r>
              <w:rPr>
                <w:rFonts w:hint="eastAsia" w:ascii="宋体" w:hAnsi="宋体" w:eastAsia="宋体" w:cs="仿宋"/>
                <w:szCs w:val="21"/>
              </w:rPr>
              <w:t>、</w:t>
            </w:r>
            <w:r>
              <w:rPr>
                <w:rFonts w:ascii="宋体" w:hAnsi="宋体" w:eastAsia="宋体" w:cs="仿宋"/>
                <w:szCs w:val="21"/>
              </w:rPr>
              <w:t>自有采暖</w:t>
            </w:r>
            <w:r>
              <w:rPr>
                <w:rFonts w:hint="eastAsia" w:ascii="宋体" w:hAnsi="宋体" w:eastAsia="宋体" w:cs="仿宋"/>
                <w:szCs w:val="21"/>
              </w:rPr>
              <w:t>（制冷）设备</w:t>
            </w:r>
            <w:r>
              <w:rPr>
                <w:rFonts w:ascii="宋体" w:hAnsi="宋体" w:eastAsia="宋体" w:cs="仿宋"/>
                <w:szCs w:val="21"/>
              </w:rPr>
              <w:t>化石能源</w:t>
            </w:r>
            <w:r>
              <w:rPr>
                <w:rFonts w:hint="eastAsia" w:ascii="宋体" w:hAnsi="宋体" w:eastAsia="宋体" w:cs="仿宋"/>
                <w:szCs w:val="21"/>
              </w:rPr>
              <w:t>消耗产生的二氧化碳排放。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能源间接温室气体排放总量（范围二）</w:t>
            </w:r>
          </w:p>
        </w:tc>
        <w:tc>
          <w:tcPr>
            <w:tcW w:w="992" w:type="dxa"/>
            <w:vMerge w:val="continue"/>
            <w:tcBorders>
              <w:left w:val="single" w:color="auto" w:sz="4" w:space="0"/>
              <w:right w:val="single" w:color="auto" w:sz="4" w:space="0"/>
            </w:tcBorders>
            <w:vAlign w:val="center"/>
          </w:tcPr>
          <w:p>
            <w:pPr>
              <w:jc w:val="center"/>
              <w:rPr>
                <w:rFonts w:ascii="宋体" w:hAnsi="宋体" w:eastAsia="宋体" w:cs="仿宋"/>
                <w:szCs w:val="21"/>
              </w:rPr>
            </w:pPr>
          </w:p>
        </w:tc>
        <w:tc>
          <w:tcPr>
            <w:tcW w:w="6440" w:type="dxa"/>
            <w:tcBorders>
              <w:left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包括营业办公消耗外购电力、采暖（制冷）服务产生的间接二氧化碳排放。</w:t>
            </w:r>
          </w:p>
          <w:p>
            <w:pPr>
              <w:rPr>
                <w:rFonts w:ascii="宋体" w:hAnsi="宋体" w:eastAsia="宋体" w:cs="仿宋"/>
                <w:szCs w:val="21"/>
              </w:rPr>
            </w:pPr>
            <w:r>
              <w:rPr>
                <w:rFonts w:hint="eastAsia" w:ascii="宋体" w:hAnsi="宋体" w:eastAsia="宋体" w:cs="仿宋"/>
                <w:szCs w:val="21"/>
              </w:rPr>
              <w:t>计算范围二排放时，深圳地区机构建议使用《广东省市县（区）级温室气体清单编制指南》中2</w:t>
            </w:r>
            <w:r>
              <w:rPr>
                <w:rFonts w:ascii="宋体" w:hAnsi="宋体" w:eastAsia="宋体" w:cs="仿宋"/>
                <w:szCs w:val="21"/>
              </w:rPr>
              <w:t>018</w:t>
            </w:r>
            <w:r>
              <w:rPr>
                <w:rFonts w:hint="eastAsia" w:ascii="宋体" w:hAnsi="宋体" w:eastAsia="宋体" w:cs="仿宋"/>
                <w:szCs w:val="21"/>
              </w:rPr>
              <w:t>年广东省电网平均排放因子0</w:t>
            </w:r>
            <w:r>
              <w:rPr>
                <w:rFonts w:ascii="宋体" w:hAnsi="宋体" w:eastAsia="宋体" w:cs="仿宋"/>
                <w:szCs w:val="21"/>
              </w:rPr>
              <w:t>.4512</w:t>
            </w:r>
            <w:r>
              <w:rPr>
                <w:rFonts w:ascii="宋体" w:hAnsi="宋体" w:eastAsia="宋体"/>
                <w:szCs w:val="21"/>
              </w:rPr>
              <w:t xml:space="preserve"> </w:t>
            </w:r>
            <w:r>
              <w:rPr>
                <w:rFonts w:ascii="宋体" w:hAnsi="宋体" w:eastAsia="宋体" w:cs="仿宋"/>
                <w:szCs w:val="21"/>
              </w:rPr>
              <w:t>kgCO</w:t>
            </w:r>
            <w:r>
              <w:rPr>
                <w:rFonts w:ascii="宋体" w:hAnsi="宋体" w:eastAsia="宋体" w:cs="仿宋"/>
                <w:szCs w:val="21"/>
                <w:vertAlign w:val="subscript"/>
              </w:rPr>
              <w:t>2</w:t>
            </w:r>
            <w:r>
              <w:rPr>
                <w:rFonts w:ascii="宋体" w:hAnsi="宋体" w:eastAsia="宋体" w:cs="仿宋"/>
                <w:szCs w:val="21"/>
              </w:rPr>
              <w:t>/kWh</w:t>
            </w:r>
            <w:r>
              <w:rPr>
                <w:rFonts w:hint="eastAsia" w:ascii="宋体" w:hAnsi="宋体" w:eastAsia="宋体" w:cs="仿宋"/>
                <w:szCs w:val="21"/>
              </w:rPr>
              <w:t>作为电力排放因子，其他地区机构可采用《企业温室气体排放核算方法与报告指南》中规定的0</w:t>
            </w:r>
            <w:r>
              <w:rPr>
                <w:rFonts w:ascii="宋体" w:hAnsi="宋体" w:eastAsia="宋体" w:cs="仿宋"/>
                <w:szCs w:val="21"/>
              </w:rPr>
              <w:t>.4512</w:t>
            </w:r>
            <w:r>
              <w:rPr>
                <w:rFonts w:ascii="宋体" w:hAnsi="宋体" w:eastAsia="宋体"/>
                <w:szCs w:val="21"/>
              </w:rPr>
              <w:t xml:space="preserve"> </w:t>
            </w:r>
            <w:r>
              <w:rPr>
                <w:rFonts w:ascii="宋体" w:hAnsi="宋体" w:eastAsia="宋体" w:cs="仿宋"/>
                <w:szCs w:val="21"/>
              </w:rPr>
              <w:t>kgCO</w:t>
            </w:r>
            <w:r>
              <w:rPr>
                <w:rFonts w:ascii="宋体" w:hAnsi="宋体" w:eastAsia="宋体" w:cs="仿宋"/>
                <w:szCs w:val="21"/>
                <w:vertAlign w:val="subscript"/>
              </w:rPr>
              <w:t>2</w:t>
            </w:r>
            <w:r>
              <w:rPr>
                <w:rFonts w:ascii="宋体" w:hAnsi="宋体" w:eastAsia="宋体" w:cs="仿宋"/>
                <w:szCs w:val="21"/>
              </w:rPr>
              <w:t>/kWh</w:t>
            </w:r>
            <w:r>
              <w:rPr>
                <w:rFonts w:hint="eastAsia" w:ascii="宋体" w:hAnsi="宋体" w:eastAsia="宋体" w:cs="仿宋"/>
                <w:szCs w:val="21"/>
              </w:rPr>
              <w:t>作为电力排放因子。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vMerge w:val="restart"/>
            <w:tcBorders>
              <w:top w:val="single" w:color="auto" w:sz="4" w:space="0"/>
              <w:left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其他经营活动间接温室气体排放</w:t>
            </w:r>
          </w:p>
          <w:p>
            <w:pPr>
              <w:jc w:val="center"/>
              <w:rPr>
                <w:rFonts w:ascii="宋体" w:hAnsi="宋体" w:eastAsia="宋体" w:cs="仿宋"/>
                <w:szCs w:val="21"/>
              </w:rPr>
            </w:pPr>
            <w:r>
              <w:rPr>
                <w:rFonts w:hint="eastAsia" w:ascii="宋体" w:hAnsi="宋体" w:eastAsia="宋体" w:cs="仿宋"/>
                <w:szCs w:val="21"/>
              </w:rPr>
              <w:t>（范围三）</w:t>
            </w:r>
          </w:p>
        </w:tc>
        <w:tc>
          <w:tcPr>
            <w:tcW w:w="992" w:type="dxa"/>
            <w:tcBorders>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tcBorders>
              <w:left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雇员差旅出行及差旅住宿产生的间接二氧化碳排放。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vMerge w:val="continue"/>
            <w:tcBorders>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p>
        </w:tc>
        <w:tc>
          <w:tcPr>
            <w:tcW w:w="992" w:type="dxa"/>
            <w:tcBorders>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鼓励</w:t>
            </w:r>
          </w:p>
        </w:tc>
        <w:tc>
          <w:tcPr>
            <w:tcW w:w="6440" w:type="dxa"/>
            <w:tcBorders>
              <w:left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鼓励金融机构披露办公用纸（回收用纸）、用水、废弃物（废水）处置等产生的间接</w:t>
            </w:r>
            <w:r>
              <w:rPr>
                <w:rFonts w:ascii="宋体" w:hAnsi="宋体" w:eastAsia="宋体" w:cs="仿宋"/>
                <w:szCs w:val="21"/>
              </w:rPr>
              <w:t>二氧化碳</w:t>
            </w:r>
            <w:r>
              <w:rPr>
                <w:rFonts w:hint="eastAsia" w:ascii="宋体" w:hAnsi="宋体" w:eastAsia="宋体" w:cs="仿宋"/>
                <w:szCs w:val="21"/>
              </w:rPr>
              <w:t>排放，及其他范围三温室气体排放。</w:t>
            </w:r>
          </w:p>
          <w:p>
            <w:pPr>
              <w:rPr>
                <w:rFonts w:ascii="宋体" w:hAnsi="宋体" w:eastAsia="宋体" w:cs="仿宋"/>
                <w:szCs w:val="21"/>
              </w:rPr>
            </w:pPr>
            <w:r>
              <w:rPr>
                <w:rFonts w:hint="eastAsia" w:ascii="宋体" w:hAnsi="宋体" w:eastAsia="宋体" w:cs="仿宋"/>
                <w:szCs w:val="21"/>
              </w:rPr>
              <w:t>（投融资活动产生的温室气体排放应在“投融资活动的环境影响”部分单独披露）。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除二氧化碳以外的其他温室气体排放</w:t>
            </w:r>
          </w:p>
        </w:tc>
        <w:tc>
          <w:tcPr>
            <w:tcW w:w="992" w:type="dxa"/>
            <w:tcBorders>
              <w:left w:val="single" w:color="auto" w:sz="4" w:space="0"/>
              <w:right w:val="single" w:color="auto" w:sz="4" w:space="0"/>
            </w:tcBorders>
            <w:vAlign w:val="center"/>
          </w:tcPr>
          <w:p>
            <w:pPr>
              <w:jc w:val="center"/>
              <w:rPr>
                <w:rFonts w:ascii="宋体" w:hAnsi="宋体" w:eastAsia="宋体" w:cs="仿宋"/>
                <w:szCs w:val="21"/>
              </w:rPr>
            </w:pPr>
            <w:r>
              <w:rPr>
                <w:rFonts w:ascii="宋体" w:hAnsi="宋体" w:eastAsia="宋体" w:cs="仿宋"/>
                <w:szCs w:val="21"/>
              </w:rPr>
              <w:t>鼓励</w:t>
            </w:r>
          </w:p>
        </w:tc>
        <w:tc>
          <w:tcPr>
            <w:tcW w:w="6440" w:type="dxa"/>
            <w:tcBorders>
              <w:left w:val="single" w:color="auto" w:sz="4" w:space="0"/>
              <w:right w:val="single" w:color="auto" w:sz="4" w:space="0"/>
            </w:tcBorders>
            <w:vAlign w:val="center"/>
          </w:tcPr>
          <w:p>
            <w:pPr>
              <w:rPr>
                <w:rFonts w:ascii="宋体" w:hAnsi="宋体" w:eastAsia="宋体"/>
              </w:rPr>
            </w:pPr>
            <w:r>
              <w:rPr>
                <w:rFonts w:hint="eastAsia" w:ascii="宋体" w:hAnsi="宋体" w:eastAsia="宋体" w:cs="仿宋"/>
              </w:rPr>
              <w:t>鼓励金融机构计算披露除二氧化碳以外的其他温室气体排放，包括</w:t>
            </w:r>
            <w:r>
              <w:rPr>
                <w:rFonts w:hint="eastAsia" w:ascii="宋体" w:hAnsi="宋体" w:eastAsia="宋体"/>
              </w:rPr>
              <w:t>甲烷（</w:t>
            </w:r>
            <w:r>
              <w:rPr>
                <w:rFonts w:ascii="宋体" w:hAnsi="宋体" w:eastAsia="宋体" w:cs="Arial"/>
              </w:rPr>
              <w:t>CH</w:t>
            </w:r>
            <w:r>
              <w:rPr>
                <w:rFonts w:ascii="宋体" w:hAnsi="宋体" w:eastAsia="宋体" w:cs="Arial"/>
                <w:sz w:val="14"/>
                <w:szCs w:val="14"/>
              </w:rPr>
              <w:t>4</w:t>
            </w:r>
            <w:r>
              <w:rPr>
                <w:rFonts w:hint="eastAsia" w:ascii="宋体" w:hAnsi="宋体" w:eastAsia="宋体"/>
              </w:rPr>
              <w:t>）、氧化亚氮（</w:t>
            </w:r>
            <w:r>
              <w:rPr>
                <w:rFonts w:ascii="宋体" w:hAnsi="宋体" w:eastAsia="宋体" w:cs="Arial"/>
              </w:rPr>
              <w:t>N</w:t>
            </w:r>
            <w:r>
              <w:rPr>
                <w:rFonts w:ascii="宋体" w:hAnsi="宋体" w:eastAsia="宋体" w:cs="Arial"/>
                <w:sz w:val="14"/>
                <w:szCs w:val="14"/>
              </w:rPr>
              <w:t>2</w:t>
            </w:r>
            <w:r>
              <w:rPr>
                <w:rFonts w:ascii="宋体" w:hAnsi="宋体" w:eastAsia="宋体" w:cs="Arial"/>
              </w:rPr>
              <w:t>O</w:t>
            </w:r>
            <w:r>
              <w:rPr>
                <w:rFonts w:hint="eastAsia" w:ascii="宋体" w:hAnsi="宋体" w:eastAsia="宋体"/>
              </w:rPr>
              <w:t>）、氢氟碳化物（</w:t>
            </w:r>
            <w:r>
              <w:rPr>
                <w:rFonts w:ascii="宋体" w:hAnsi="宋体" w:eastAsia="宋体" w:cs="Arial"/>
              </w:rPr>
              <w:t>HFCs</w:t>
            </w:r>
            <w:r>
              <w:rPr>
                <w:rFonts w:hint="eastAsia" w:ascii="宋体" w:hAnsi="宋体" w:eastAsia="宋体"/>
              </w:rPr>
              <w:t>）、全氟碳化物（</w:t>
            </w:r>
            <w:r>
              <w:rPr>
                <w:rFonts w:ascii="宋体" w:hAnsi="宋体" w:eastAsia="宋体" w:cs="Arial"/>
              </w:rPr>
              <w:t>PFCs</w:t>
            </w:r>
            <w:r>
              <w:rPr>
                <w:rFonts w:hint="eastAsia" w:ascii="宋体" w:hAnsi="宋体" w:eastAsia="宋体"/>
              </w:rPr>
              <w:t>）和六氟化硫（</w:t>
            </w:r>
            <w:r>
              <w:rPr>
                <w:rFonts w:ascii="宋体" w:hAnsi="宋体" w:eastAsia="宋体" w:cs="Arial"/>
              </w:rPr>
              <w:t>SF</w:t>
            </w:r>
            <w:r>
              <w:rPr>
                <w:rFonts w:ascii="宋体" w:hAnsi="宋体" w:eastAsia="宋体" w:cs="Arial"/>
                <w:sz w:val="14"/>
                <w:szCs w:val="14"/>
              </w:rPr>
              <w:t>6</w:t>
            </w:r>
            <w:r>
              <w:rPr>
                <w:rFonts w:hint="eastAsia" w:ascii="宋体" w:hAnsi="宋体" w:eastAsia="宋体"/>
              </w:rPr>
              <w:t>），单位C</w:t>
            </w:r>
            <w:r>
              <w:rPr>
                <w:rFonts w:ascii="宋体" w:hAnsi="宋体" w:eastAsia="宋体"/>
              </w:rPr>
              <w:t>O</w:t>
            </w:r>
            <w:r>
              <w:rPr>
                <w:rFonts w:ascii="宋体" w:hAnsi="宋体" w:eastAsia="宋体"/>
                <w:vertAlign w:val="subscript"/>
              </w:rPr>
              <w:t>2</w:t>
            </w:r>
            <w:r>
              <w:rPr>
                <w:rFonts w:hint="eastAsia" w:ascii="宋体" w:hAnsi="宋体" w:eastAsia="宋体"/>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经营活动二氧化碳排放总量</w:t>
            </w:r>
          </w:p>
        </w:tc>
        <w:tc>
          <w:tcPr>
            <w:tcW w:w="992" w:type="dxa"/>
            <w:vMerge w:val="restart"/>
            <w:tcBorders>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vMerge w:val="restart"/>
            <w:tcBorders>
              <w:left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上述强制披露的范围一、范围二、范围三二氧化碳排放总量及人均排放量。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 w:hRule="atLeast"/>
        </w:trPr>
        <w:tc>
          <w:tcPr>
            <w:tcW w:w="1135" w:type="dxa"/>
            <w:vMerge w:val="continue"/>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人均经营活动</w:t>
            </w:r>
            <w:r>
              <w:rPr>
                <w:rFonts w:ascii="宋体" w:hAnsi="宋体" w:eastAsia="宋体" w:cs="仿宋"/>
                <w:szCs w:val="21"/>
              </w:rPr>
              <w:t>二氧化碳</w:t>
            </w:r>
            <w:r>
              <w:rPr>
                <w:rFonts w:hint="eastAsia" w:ascii="宋体" w:hAnsi="宋体" w:eastAsia="宋体" w:cs="仿宋"/>
                <w:szCs w:val="21"/>
              </w:rPr>
              <w:t>排放</w:t>
            </w:r>
          </w:p>
        </w:tc>
        <w:tc>
          <w:tcPr>
            <w:tcW w:w="992"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仿宋"/>
                <w:szCs w:val="21"/>
              </w:rPr>
            </w:pPr>
          </w:p>
        </w:tc>
        <w:tc>
          <w:tcPr>
            <w:tcW w:w="6440" w:type="dxa"/>
            <w:vMerge w:val="continue"/>
            <w:tcBorders>
              <w:left w:val="single" w:color="auto" w:sz="4" w:space="0"/>
              <w:bottom w:val="single" w:color="auto" w:sz="4" w:space="0"/>
              <w:right w:val="single" w:color="auto" w:sz="4" w:space="0"/>
            </w:tcBorders>
            <w:vAlign w:val="center"/>
          </w:tcPr>
          <w:p>
            <w:pPr>
              <w:rPr>
                <w:rFonts w:ascii="宋体" w:hAnsi="宋体" w:eastAsia="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restart"/>
            <w:tcBorders>
              <w:top w:val="single" w:color="auto" w:sz="4" w:space="0"/>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环保措施及环境效益</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ascii="宋体" w:hAnsi="宋体" w:eastAsia="宋体" w:cs="仿宋"/>
                <w:szCs w:val="21"/>
              </w:rPr>
              <w:t>环保措施</w:t>
            </w:r>
          </w:p>
        </w:tc>
        <w:tc>
          <w:tcPr>
            <w:tcW w:w="992" w:type="dxa"/>
            <w:tcBorders>
              <w:top w:val="single" w:color="auto" w:sz="4" w:space="0"/>
              <w:left w:val="single" w:color="auto" w:sz="4" w:space="0"/>
              <w:right w:val="single" w:color="auto" w:sz="4" w:space="0"/>
            </w:tcBorders>
            <w:vAlign w:val="center"/>
          </w:tcPr>
          <w:p>
            <w:pPr>
              <w:jc w:val="center"/>
              <w:rPr>
                <w:rFonts w:ascii="宋体" w:hAnsi="宋体" w:eastAsia="宋体" w:cs="仿宋"/>
                <w:szCs w:val="21"/>
              </w:rPr>
            </w:pPr>
            <w:r>
              <w:rPr>
                <w:rFonts w:ascii="宋体" w:hAnsi="宋体" w:eastAsia="宋体" w:cs="仿宋"/>
                <w:szCs w:val="21"/>
              </w:rPr>
              <w:t>强制</w:t>
            </w:r>
          </w:p>
        </w:tc>
        <w:tc>
          <w:tcPr>
            <w:tcW w:w="6440" w:type="dxa"/>
            <w:tcBorders>
              <w:top w:val="single" w:color="auto" w:sz="4" w:space="0"/>
              <w:left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报告期内实施的节能减排、资源节约等措施（如线上业务、无纸化办公、建筑节能改造、低碳出行等）。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top w:val="single" w:color="auto" w:sz="4" w:space="0"/>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资源节约量</w:t>
            </w:r>
          </w:p>
        </w:tc>
        <w:tc>
          <w:tcPr>
            <w:tcW w:w="992"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鼓励</w:t>
            </w:r>
          </w:p>
        </w:tc>
        <w:tc>
          <w:tcPr>
            <w:tcW w:w="6440" w:type="dxa"/>
            <w:vMerge w:val="restart"/>
            <w:tcBorders>
              <w:top w:val="single" w:color="auto" w:sz="4" w:space="0"/>
              <w:left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鼓励金融机构披露报告期内上述相关措施产生的环境效益，包括资源、能源、温室气体排放、废弃物排放减少量，并说明计算依据。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能源节约量</w:t>
            </w:r>
          </w:p>
        </w:tc>
        <w:tc>
          <w:tcPr>
            <w:tcW w:w="992" w:type="dxa"/>
            <w:vMerge w:val="continue"/>
            <w:tcBorders>
              <w:left w:val="single" w:color="auto" w:sz="4" w:space="0"/>
              <w:right w:val="single" w:color="auto" w:sz="4" w:space="0"/>
            </w:tcBorders>
            <w:vAlign w:val="center"/>
          </w:tcPr>
          <w:p>
            <w:pPr>
              <w:jc w:val="center"/>
              <w:rPr>
                <w:rFonts w:ascii="宋体" w:hAnsi="宋体" w:eastAsia="宋体" w:cs="仿宋"/>
                <w:szCs w:val="21"/>
              </w:rPr>
            </w:pPr>
          </w:p>
        </w:tc>
        <w:tc>
          <w:tcPr>
            <w:tcW w:w="6440" w:type="dxa"/>
            <w:vMerge w:val="continue"/>
            <w:tcBorders>
              <w:left w:val="single" w:color="auto" w:sz="4" w:space="0"/>
              <w:right w:val="single" w:color="auto" w:sz="4" w:space="0"/>
            </w:tcBorders>
            <w:vAlign w:val="center"/>
          </w:tcPr>
          <w:p>
            <w:pPr>
              <w:rPr>
                <w:rFonts w:ascii="宋体" w:hAnsi="宋体" w:eastAsia="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温室气体减排量</w:t>
            </w:r>
          </w:p>
        </w:tc>
        <w:tc>
          <w:tcPr>
            <w:tcW w:w="992" w:type="dxa"/>
            <w:vMerge w:val="continue"/>
            <w:tcBorders>
              <w:left w:val="single" w:color="auto" w:sz="4" w:space="0"/>
              <w:right w:val="single" w:color="auto" w:sz="4" w:space="0"/>
            </w:tcBorders>
            <w:vAlign w:val="center"/>
          </w:tcPr>
          <w:p>
            <w:pPr>
              <w:jc w:val="center"/>
              <w:rPr>
                <w:rFonts w:ascii="宋体" w:hAnsi="宋体" w:eastAsia="宋体" w:cs="仿宋"/>
                <w:szCs w:val="21"/>
              </w:rPr>
            </w:pPr>
          </w:p>
        </w:tc>
        <w:tc>
          <w:tcPr>
            <w:tcW w:w="6440" w:type="dxa"/>
            <w:vMerge w:val="continue"/>
            <w:tcBorders>
              <w:left w:val="single" w:color="auto" w:sz="4" w:space="0"/>
              <w:bottom w:val="single" w:color="auto" w:sz="4" w:space="0"/>
              <w:right w:val="single" w:color="auto" w:sz="4" w:space="0"/>
            </w:tcBorders>
            <w:vAlign w:val="center"/>
          </w:tcPr>
          <w:p>
            <w:pPr>
              <w:rPr>
                <w:rFonts w:ascii="宋体" w:hAnsi="宋体" w:eastAsia="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ascii="宋体" w:hAnsi="宋体" w:eastAsia="宋体" w:cs="仿宋"/>
                <w:szCs w:val="21"/>
              </w:rPr>
              <w:t>碳</w:t>
            </w:r>
            <w:r>
              <w:rPr>
                <w:rFonts w:hint="eastAsia" w:ascii="宋体" w:hAnsi="宋体" w:eastAsia="宋体" w:cs="仿宋"/>
                <w:szCs w:val="21"/>
              </w:rPr>
              <w:t>抵消信用</w:t>
            </w:r>
          </w:p>
        </w:tc>
        <w:tc>
          <w:tcPr>
            <w:tcW w:w="4111" w:type="dxa"/>
            <w:gridSpan w:val="3"/>
            <w:tcBorders>
              <w:top w:val="single" w:color="auto" w:sz="4" w:space="0"/>
              <w:left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碳抵消/碳信用额度使用情况</w:t>
            </w:r>
          </w:p>
        </w:tc>
        <w:tc>
          <w:tcPr>
            <w:tcW w:w="992" w:type="dxa"/>
            <w:tcBorders>
              <w:left w:val="single" w:color="auto" w:sz="4" w:space="0"/>
              <w:right w:val="single" w:color="auto" w:sz="4" w:space="0"/>
            </w:tcBorders>
            <w:vAlign w:val="center"/>
          </w:tcPr>
          <w:p>
            <w:pPr>
              <w:jc w:val="center"/>
              <w:rPr>
                <w:rFonts w:ascii="宋体" w:hAnsi="宋体" w:eastAsia="宋体" w:cs="仿宋"/>
                <w:szCs w:val="21"/>
              </w:rPr>
            </w:pPr>
            <w:r>
              <w:rPr>
                <w:rFonts w:ascii="宋体" w:hAnsi="宋体" w:eastAsia="宋体" w:cs="仿宋"/>
                <w:szCs w:val="21"/>
              </w:rPr>
              <w:t>鼓励</w:t>
            </w:r>
          </w:p>
        </w:tc>
        <w:tc>
          <w:tcPr>
            <w:tcW w:w="6440" w:type="dxa"/>
            <w:tcBorders>
              <w:top w:val="single" w:color="auto" w:sz="4" w:space="0"/>
              <w:left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（如有）金融机构应披露购买或投资开发的在温室气体核算边界以外的减排项目</w:t>
            </w:r>
            <w:r>
              <w:rPr>
                <w:rFonts w:ascii="宋体" w:hAnsi="宋体" w:eastAsia="宋体" w:cs="仿宋"/>
                <w:szCs w:val="21"/>
              </w:rPr>
              <w:t>/减排信用额度信息，</w:t>
            </w:r>
            <w:r>
              <w:rPr>
                <w:rFonts w:hint="eastAsia" w:ascii="宋体" w:hAnsi="宋体" w:eastAsia="宋体" w:cs="仿宋"/>
                <w:szCs w:val="21"/>
              </w:rPr>
              <w:t>建议披露购买的核证减排量、</w:t>
            </w:r>
            <w:r>
              <w:rPr>
                <w:rFonts w:ascii="宋体" w:hAnsi="宋体" w:eastAsia="宋体" w:cs="仿宋"/>
                <w:szCs w:val="21"/>
              </w:rPr>
              <w:t>项目名称、类别等</w:t>
            </w:r>
            <w:r>
              <w:rPr>
                <w:rFonts w:hint="eastAsia" w:ascii="宋体" w:hAnsi="宋体" w:eastAsia="宋体" w:cs="仿宋"/>
                <w:szCs w:val="21"/>
              </w:rPr>
              <w:t>信息</w:t>
            </w:r>
            <w:r>
              <w:rPr>
                <w:rFonts w:ascii="宋体" w:hAnsi="宋体" w:eastAsia="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restart"/>
            <w:tcBorders>
              <w:top w:val="single" w:color="auto" w:sz="4" w:space="0"/>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投融资活动的环境影响</w:t>
            </w:r>
          </w:p>
        </w:tc>
        <w:tc>
          <w:tcPr>
            <w:tcW w:w="1417" w:type="dxa"/>
            <w:vMerge w:val="restart"/>
            <w:tcBorders>
              <w:top w:val="single" w:color="auto" w:sz="4" w:space="0"/>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整体投融资情况</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投融资概况及较上一报告期的变动情况</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金融机构应披露报告期末机构的行业投融资结构，包括各行业的投融资金额及比例，及较上一报告期的变动情况。金融机构可依据G</w:t>
            </w:r>
            <w:r>
              <w:rPr>
                <w:rFonts w:ascii="宋体" w:hAnsi="宋体" w:eastAsia="宋体" w:cs="仿宋"/>
                <w:szCs w:val="21"/>
              </w:rPr>
              <w:t>B/T 4754-2017</w:t>
            </w:r>
            <w:r>
              <w:rPr>
                <w:rFonts w:hint="eastAsia" w:ascii="宋体" w:hAnsi="宋体" w:eastAsia="宋体" w:cs="仿宋"/>
                <w:szCs w:val="21"/>
              </w:rPr>
              <w:t>《国民经济行业分类》对投融资标的进行行业分类。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根据投融资情况识别的主要环境影响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鼓励</w:t>
            </w: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金融机构可依据投资组合中资产类别、投向行业、投向国家</w:t>
            </w:r>
            <w:r>
              <w:rPr>
                <w:rFonts w:ascii="宋体" w:hAnsi="宋体" w:eastAsia="宋体" w:cs="仿宋"/>
                <w:szCs w:val="21"/>
              </w:rPr>
              <w:t>/地区等，分析投融资组合相关环境影响的显著性和实质性。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restart"/>
            <w:tcBorders>
              <w:top w:val="single" w:color="auto" w:sz="4" w:space="0"/>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绿色投融资活动情况</w:t>
            </w:r>
          </w:p>
        </w:tc>
        <w:tc>
          <w:tcPr>
            <w:tcW w:w="721" w:type="dxa"/>
            <w:vMerge w:val="restart"/>
            <w:tcBorders>
              <w:top w:val="single" w:color="auto" w:sz="4" w:space="0"/>
              <w:left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ascii="宋体" w:hAnsi="宋体" w:eastAsia="宋体" w:cs="仿宋"/>
                <w:szCs w:val="21"/>
              </w:rPr>
              <w:t>银行</w:t>
            </w:r>
          </w:p>
        </w:tc>
        <w:tc>
          <w:tcPr>
            <w:tcW w:w="3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30"/>
              <w:jc w:val="center"/>
              <w:rPr>
                <w:rFonts w:ascii="宋体" w:hAnsi="宋体" w:eastAsia="宋体" w:cs="仿宋"/>
                <w:szCs w:val="21"/>
              </w:rPr>
            </w:pPr>
            <w:r>
              <w:rPr>
                <w:rFonts w:hint="eastAsia" w:ascii="宋体" w:hAnsi="宋体" w:eastAsia="宋体" w:cs="仿宋"/>
                <w:szCs w:val="21"/>
              </w:rPr>
              <w:t>绿色信贷</w:t>
            </w:r>
          </w:p>
        </w:tc>
        <w:tc>
          <w:tcPr>
            <w:tcW w:w="992" w:type="dxa"/>
            <w:tcBorders>
              <w:top w:val="single" w:color="auto" w:sz="4" w:space="0"/>
              <w:left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强制</w:t>
            </w:r>
          </w:p>
        </w:tc>
        <w:tc>
          <w:tcPr>
            <w:tcW w:w="6440" w:type="dxa"/>
            <w:tcBorders>
              <w:top w:val="single" w:color="auto" w:sz="4" w:space="0"/>
              <w:left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银行应披露报告期末绿色信贷余额（万元），各项贷款余额（万元），绿色信贷占各项贷款余额比例（%），不良贷款余额（万元）及不良率（%），上述指标较上一报告期末的变动情况；绿色信贷支持的项目（企业）名称及所属《绿色债券支持项目目录（2</w:t>
            </w:r>
            <w:r>
              <w:rPr>
                <w:rFonts w:ascii="宋体" w:hAnsi="宋体" w:eastAsia="宋体"/>
                <w:szCs w:val="21"/>
              </w:rPr>
              <w:t>021</w:t>
            </w:r>
            <w:r>
              <w:rPr>
                <w:rFonts w:hint="eastAsia" w:ascii="宋体" w:hAnsi="宋体" w:eastAsia="宋体"/>
                <w:szCs w:val="21"/>
              </w:rPr>
              <w:t>年版）》或《绿色产业指导目录（2</w:t>
            </w:r>
            <w:r>
              <w:rPr>
                <w:rFonts w:ascii="宋体" w:hAnsi="宋体" w:eastAsia="宋体"/>
                <w:szCs w:val="21"/>
              </w:rPr>
              <w:t>019</w:t>
            </w:r>
            <w:r>
              <w:rPr>
                <w:rFonts w:hint="eastAsia" w:ascii="宋体" w:hAnsi="宋体" w:eastAsia="宋体"/>
                <w:szCs w:val="21"/>
              </w:rPr>
              <w:t>年版）》或其他项目及企业绿色评估认定标准中所规定的类别。</w:t>
            </w:r>
          </w:p>
          <w:p>
            <w:pPr>
              <w:rPr>
                <w:rFonts w:ascii="宋体" w:hAnsi="宋体" w:eastAsia="宋体" w:cs="仿宋"/>
                <w:szCs w:val="21"/>
              </w:rPr>
            </w:pPr>
            <w:r>
              <w:rPr>
                <w:rFonts w:ascii="宋体" w:hAnsi="宋体" w:eastAsia="宋体"/>
                <w:szCs w:val="21"/>
              </w:rPr>
              <w:t>金融机构应披露绿色信贷的界定及统计口径依据</w:t>
            </w:r>
            <w:r>
              <w:rPr>
                <w:rFonts w:hint="eastAsia" w:ascii="宋体" w:hAnsi="宋体" w:eastAsia="宋体"/>
                <w:szCs w:val="21"/>
              </w:rPr>
              <w:t>，绿色企业及项目界定依据。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9"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721" w:type="dxa"/>
            <w:vMerge w:val="continue"/>
            <w:tcBorders>
              <w:left w:val="single" w:color="auto" w:sz="4" w:space="0"/>
              <w:right w:val="single" w:color="auto" w:sz="4" w:space="0"/>
            </w:tcBorders>
            <w:shd w:val="clear" w:color="auto" w:fill="auto"/>
            <w:tcMar>
              <w:top w:w="28" w:type="dxa"/>
              <w:left w:w="108" w:type="dxa"/>
              <w:bottom w:w="28" w:type="dxa"/>
              <w:right w:w="108" w:type="dxa"/>
            </w:tcMar>
            <w:vAlign w:val="center"/>
          </w:tcPr>
          <w:p>
            <w:pPr>
              <w:rPr>
                <w:rFonts w:ascii="宋体" w:hAnsi="宋体" w:eastAsia="宋体" w:cs="仿宋"/>
                <w:szCs w:val="21"/>
              </w:rPr>
            </w:pPr>
          </w:p>
        </w:tc>
        <w:tc>
          <w:tcPr>
            <w:tcW w:w="3390" w:type="dxa"/>
            <w:gridSpan w:val="2"/>
            <w:vMerge w:val="restart"/>
            <w:tcBorders>
              <w:top w:val="single" w:color="auto" w:sz="4" w:space="0"/>
              <w:left w:val="single" w:color="auto" w:sz="4" w:space="0"/>
              <w:right w:val="single" w:color="auto" w:sz="4" w:space="0"/>
            </w:tcBorders>
            <w:shd w:val="clear" w:color="auto" w:fill="auto"/>
            <w:vAlign w:val="center"/>
          </w:tcPr>
          <w:p>
            <w:pPr>
              <w:ind w:left="30"/>
              <w:jc w:val="center"/>
              <w:rPr>
                <w:rFonts w:ascii="宋体" w:hAnsi="宋体" w:eastAsia="宋体" w:cs="仿宋"/>
                <w:szCs w:val="21"/>
              </w:rPr>
            </w:pPr>
            <w:r>
              <w:rPr>
                <w:rFonts w:hint="eastAsia" w:ascii="宋体" w:hAnsi="宋体" w:eastAsia="宋体" w:cs="仿宋"/>
                <w:szCs w:val="21"/>
              </w:rPr>
              <w:t>绿色债券</w:t>
            </w:r>
          </w:p>
        </w:tc>
        <w:tc>
          <w:tcPr>
            <w:tcW w:w="992" w:type="dxa"/>
            <w:tcBorders>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szCs w:val="21"/>
              </w:rPr>
              <w:t>强制</w:t>
            </w:r>
          </w:p>
        </w:tc>
        <w:tc>
          <w:tcPr>
            <w:tcW w:w="6440" w:type="dxa"/>
            <w:tcBorders>
              <w:left w:val="single" w:color="auto" w:sz="4" w:space="0"/>
              <w:right w:val="single" w:color="auto" w:sz="4" w:space="0"/>
            </w:tcBorders>
            <w:vAlign w:val="center"/>
          </w:tcPr>
          <w:p>
            <w:pPr>
              <w:rPr>
                <w:rFonts w:ascii="宋体" w:hAnsi="宋体" w:eastAsia="宋体" w:cs="仿宋"/>
                <w:szCs w:val="21"/>
              </w:rPr>
            </w:pPr>
            <w:r>
              <w:rPr>
                <w:rFonts w:ascii="宋体" w:hAnsi="宋体" w:eastAsia="宋体" w:cs="仿宋"/>
                <w:szCs w:val="21"/>
              </w:rPr>
              <w:t>银行应披露报告期末持有的</w:t>
            </w:r>
            <w:r>
              <w:rPr>
                <w:rFonts w:hint="eastAsia" w:ascii="宋体" w:hAnsi="宋体" w:eastAsia="宋体" w:cs="仿宋"/>
                <w:szCs w:val="21"/>
              </w:rPr>
              <w:t>贴标</w:t>
            </w:r>
            <w:r>
              <w:rPr>
                <w:rFonts w:ascii="宋体" w:hAnsi="宋体" w:eastAsia="宋体" w:cs="仿宋"/>
                <w:szCs w:val="21"/>
              </w:rPr>
              <w:t>绿色债券余额</w:t>
            </w:r>
            <w:r>
              <w:rPr>
                <w:rFonts w:hint="eastAsia" w:ascii="宋体" w:hAnsi="宋体" w:eastAsia="宋体" w:cs="仿宋"/>
                <w:szCs w:val="21"/>
              </w:rPr>
              <w:t>（万元）、占总债券持有余额比重、超期未兑付的余额（万元）、较上一报告期末的变动情况，以及绿色债券支持项目名称和所属《绿色债券支持项目目录（</w:t>
            </w:r>
            <w:r>
              <w:rPr>
                <w:rFonts w:ascii="宋体" w:hAnsi="宋体" w:eastAsia="宋体" w:cs="仿宋"/>
                <w:szCs w:val="21"/>
              </w:rPr>
              <w:t>2021年版）》四级目录</w:t>
            </w:r>
            <w:r>
              <w:rPr>
                <w:rFonts w:hint="eastAsia" w:ascii="宋体" w:hAnsi="宋体" w:eastAsia="宋体" w:cs="仿宋"/>
                <w:szCs w:val="21"/>
              </w:rPr>
              <w:t>。</w:t>
            </w:r>
          </w:p>
          <w:p>
            <w:pPr>
              <w:spacing w:before="156" w:beforeLines="50"/>
              <w:rPr>
                <w:rFonts w:ascii="宋体" w:hAnsi="宋体" w:eastAsia="宋体" w:cs="仿宋"/>
                <w:szCs w:val="21"/>
              </w:rPr>
            </w:pPr>
            <w:r>
              <w:rPr>
                <w:rFonts w:hint="eastAsia" w:ascii="宋体" w:hAnsi="宋体" w:eastAsia="宋体" w:cs="仿宋"/>
                <w:szCs w:val="21"/>
              </w:rPr>
              <w:t>绿色债券包括绿色金融债券、绿色企业债券、绿色公司债券、绿色债务融资工具等非结构化融资产品，绿色资产支持证券等结构化融资产品，以及其他绿色债券产品（下同）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9"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721" w:type="dxa"/>
            <w:vMerge w:val="continue"/>
            <w:tcBorders>
              <w:left w:val="single" w:color="auto" w:sz="4" w:space="0"/>
              <w:right w:val="single" w:color="auto" w:sz="4" w:space="0"/>
            </w:tcBorders>
            <w:shd w:val="clear" w:color="auto" w:fill="auto"/>
            <w:tcMar>
              <w:top w:w="28" w:type="dxa"/>
              <w:left w:w="108" w:type="dxa"/>
              <w:bottom w:w="28" w:type="dxa"/>
              <w:right w:w="108" w:type="dxa"/>
            </w:tcMar>
            <w:vAlign w:val="center"/>
          </w:tcPr>
          <w:p>
            <w:pPr>
              <w:rPr>
                <w:rFonts w:ascii="宋体" w:hAnsi="宋体" w:eastAsia="宋体" w:cs="仿宋"/>
                <w:szCs w:val="21"/>
              </w:rPr>
            </w:pPr>
          </w:p>
        </w:tc>
        <w:tc>
          <w:tcPr>
            <w:tcW w:w="3390" w:type="dxa"/>
            <w:gridSpan w:val="2"/>
            <w:vMerge w:val="continue"/>
            <w:tcBorders>
              <w:left w:val="single" w:color="auto" w:sz="4" w:space="0"/>
              <w:right w:val="single" w:color="auto" w:sz="4" w:space="0"/>
            </w:tcBorders>
            <w:shd w:val="clear" w:color="auto" w:fill="auto"/>
            <w:vAlign w:val="center"/>
          </w:tcPr>
          <w:p>
            <w:pPr>
              <w:ind w:left="30"/>
              <w:jc w:val="center"/>
              <w:rPr>
                <w:rFonts w:ascii="宋体" w:hAnsi="宋体" w:eastAsia="宋体" w:cs="仿宋"/>
                <w:szCs w:val="21"/>
              </w:rPr>
            </w:pPr>
          </w:p>
        </w:tc>
        <w:tc>
          <w:tcPr>
            <w:tcW w:w="992" w:type="dxa"/>
            <w:tcBorders>
              <w:left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鼓励</w:t>
            </w:r>
          </w:p>
        </w:tc>
        <w:tc>
          <w:tcPr>
            <w:tcW w:w="6440" w:type="dxa"/>
            <w:tcBorders>
              <w:left w:val="single" w:color="auto" w:sz="4" w:space="0"/>
              <w:right w:val="single" w:color="auto" w:sz="4" w:space="0"/>
            </w:tcBorders>
            <w:vAlign w:val="center"/>
          </w:tcPr>
          <w:p>
            <w:pPr>
              <w:spacing w:after="156" w:afterLines="50"/>
              <w:rPr>
                <w:rFonts w:ascii="宋体" w:hAnsi="宋体" w:eastAsia="宋体" w:cs="仿宋"/>
                <w:szCs w:val="21"/>
              </w:rPr>
            </w:pPr>
            <w:r>
              <w:rPr>
                <w:rFonts w:hint="eastAsia" w:ascii="宋体" w:hAnsi="宋体" w:eastAsia="宋体" w:cs="仿宋"/>
                <w:szCs w:val="21"/>
              </w:rPr>
              <w:t>鼓励银行披露报告期末持有的未贴标的“投向绿”债券余额（万元）、占总债券持有余额比重、超期未兑付的债券余额（万元）、较上一报告期末的变动情况，以及</w:t>
            </w:r>
            <w:r>
              <w:rPr>
                <w:rFonts w:hint="eastAsia" w:ascii="宋体" w:hAnsi="宋体" w:eastAsia="宋体" w:cs="Times New Roman"/>
                <w:szCs w:val="21"/>
              </w:rPr>
              <w:t>“</w:t>
            </w:r>
            <w:r>
              <w:rPr>
                <w:rFonts w:hint="eastAsia" w:ascii="宋体" w:hAnsi="宋体" w:eastAsia="宋体" w:cs="仿宋"/>
                <w:szCs w:val="21"/>
              </w:rPr>
              <w:t>投向绿”债券支持的项目类别。</w:t>
            </w:r>
          </w:p>
          <w:p>
            <w:pPr>
              <w:rPr>
                <w:rFonts w:ascii="宋体" w:hAnsi="宋体" w:eastAsia="宋体" w:cs="仿宋"/>
                <w:szCs w:val="21"/>
              </w:rPr>
            </w:pPr>
            <w:r>
              <w:rPr>
                <w:rFonts w:hint="eastAsia" w:ascii="宋体" w:hAnsi="宋体" w:eastAsia="宋体" w:cs="仿宋"/>
                <w:szCs w:val="21"/>
              </w:rPr>
              <w:t>“投向绿”债券是指债券的募集资金投向应至少符合人民银行、国家发展改革委、证监会发布《绿色债券支持项目目录（</w:t>
            </w:r>
            <w:r>
              <w:rPr>
                <w:rFonts w:ascii="宋体" w:hAnsi="宋体" w:eastAsia="宋体" w:cs="仿宋"/>
                <w:szCs w:val="21"/>
              </w:rPr>
              <w:t>2021）》、国际资本市场协会（ICMA）《绿色债券原则GBP，2021》、气候债券倡议组织（CBI）《气候债券分类方案》三项标准之一。同时，投向绿色产业项目的资金规模在债券募集资金中的占比应不低于50%。在募集资金用途信息不足以支持对债券进行绿色属性识别的情况下，债券发行人来源于绿色产业的主营收入占比不低于50%。</w:t>
            </w:r>
            <w:r>
              <w:rPr>
                <w:rFonts w:hint="eastAsia" w:ascii="宋体" w:hAnsi="宋体" w:eastAsia="宋体" w:cs="仿宋"/>
                <w:szCs w:val="21"/>
              </w:rPr>
              <w:t>（下同）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721" w:type="dxa"/>
            <w:vMerge w:val="continue"/>
            <w:tcBorders>
              <w:left w:val="single" w:color="auto" w:sz="4" w:space="0"/>
              <w:bottom w:val="nil"/>
              <w:right w:val="single" w:color="auto" w:sz="4" w:space="0"/>
            </w:tcBorders>
            <w:shd w:val="clear" w:color="auto" w:fill="auto"/>
            <w:tcMar>
              <w:top w:w="28" w:type="dxa"/>
              <w:left w:w="108" w:type="dxa"/>
              <w:bottom w:w="28" w:type="dxa"/>
              <w:right w:w="108" w:type="dxa"/>
            </w:tcMar>
            <w:vAlign w:val="center"/>
          </w:tcPr>
          <w:p>
            <w:pPr>
              <w:rPr>
                <w:rFonts w:ascii="宋体" w:hAnsi="宋体" w:eastAsia="宋体" w:cs="仿宋"/>
                <w:szCs w:val="21"/>
              </w:rPr>
            </w:pPr>
          </w:p>
        </w:tc>
        <w:tc>
          <w:tcPr>
            <w:tcW w:w="3390" w:type="dxa"/>
            <w:gridSpan w:val="2"/>
            <w:tcBorders>
              <w:top w:val="single" w:color="auto" w:sz="4" w:space="0"/>
              <w:left w:val="single" w:color="auto" w:sz="4" w:space="0"/>
              <w:right w:val="single" w:color="auto" w:sz="4" w:space="0"/>
            </w:tcBorders>
            <w:shd w:val="clear" w:color="auto" w:fill="auto"/>
            <w:vAlign w:val="center"/>
          </w:tcPr>
          <w:p>
            <w:pPr>
              <w:ind w:left="30"/>
              <w:jc w:val="center"/>
              <w:rPr>
                <w:rFonts w:ascii="宋体" w:hAnsi="宋体" w:eastAsia="宋体" w:cs="仿宋"/>
                <w:szCs w:val="21"/>
              </w:rPr>
            </w:pPr>
            <w:r>
              <w:rPr>
                <w:rFonts w:hint="eastAsia" w:ascii="宋体" w:hAnsi="宋体" w:eastAsia="宋体" w:cs="仿宋"/>
                <w:szCs w:val="21"/>
              </w:rPr>
              <w:t>其他绿色投融资产品及服务</w:t>
            </w:r>
          </w:p>
        </w:tc>
        <w:tc>
          <w:tcPr>
            <w:tcW w:w="992" w:type="dxa"/>
            <w:tcBorders>
              <w:left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鼓励</w:t>
            </w:r>
          </w:p>
        </w:tc>
        <w:tc>
          <w:tcPr>
            <w:tcW w:w="6440" w:type="dxa"/>
            <w:tcBorders>
              <w:left w:val="single" w:color="auto" w:sz="4" w:space="0"/>
              <w:right w:val="single" w:color="auto" w:sz="4" w:space="0"/>
            </w:tcBorders>
            <w:vAlign w:val="center"/>
          </w:tcPr>
          <w:p>
            <w:pPr>
              <w:rPr>
                <w:rFonts w:ascii="宋体" w:hAnsi="宋体" w:eastAsia="宋体" w:cs="仿宋"/>
                <w:szCs w:val="21"/>
              </w:rPr>
            </w:pPr>
            <w:r>
              <w:rPr>
                <w:rFonts w:ascii="宋体" w:hAnsi="宋体" w:eastAsia="宋体" w:cs="仿宋"/>
                <w:szCs w:val="21"/>
              </w:rPr>
              <w:t>包括</w:t>
            </w:r>
            <w:r>
              <w:rPr>
                <w:rFonts w:hint="eastAsia" w:ascii="宋体" w:hAnsi="宋体" w:eastAsia="宋体" w:cs="仿宋"/>
                <w:szCs w:val="21"/>
              </w:rPr>
              <w:t>绿色主题理财产品、绿色债券承销/发行等。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721" w:type="dxa"/>
            <w:tcBorders>
              <w:top w:val="nil"/>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rPr>
                <w:rFonts w:ascii="宋体" w:hAnsi="宋体" w:eastAsia="宋体" w:cs="仿宋"/>
                <w:szCs w:val="21"/>
              </w:rPr>
            </w:pPr>
          </w:p>
        </w:tc>
        <w:tc>
          <w:tcPr>
            <w:tcW w:w="3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30"/>
              <w:jc w:val="center"/>
              <w:rPr>
                <w:rFonts w:ascii="宋体" w:hAnsi="宋体" w:eastAsia="宋体" w:cs="仿宋"/>
                <w:szCs w:val="21"/>
              </w:rPr>
            </w:pPr>
            <w:r>
              <w:rPr>
                <w:rFonts w:hint="eastAsia" w:ascii="宋体" w:hAnsi="宋体" w:eastAsia="宋体" w:cs="仿宋"/>
                <w:szCs w:val="21"/>
              </w:rPr>
              <w:t>重要客户环保合规情况</w:t>
            </w:r>
          </w:p>
        </w:tc>
        <w:tc>
          <w:tcPr>
            <w:tcW w:w="992" w:type="dxa"/>
            <w:tcBorders>
              <w:left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鼓励</w:t>
            </w:r>
          </w:p>
        </w:tc>
        <w:tc>
          <w:tcPr>
            <w:tcW w:w="6440" w:type="dxa"/>
            <w:tcBorders>
              <w:left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鼓励金融机构披露重要客户在报告期内因环境问题受到的行政处罚、司法判决等情况。</w:t>
            </w:r>
          </w:p>
          <w:p>
            <w:pPr>
              <w:rPr>
                <w:rFonts w:ascii="宋体" w:hAnsi="宋体" w:eastAsia="宋体"/>
                <w:szCs w:val="21"/>
              </w:rPr>
            </w:pPr>
            <w:r>
              <w:rPr>
                <w:rFonts w:hint="eastAsia" w:ascii="宋体" w:hAnsi="宋体" w:eastAsia="宋体" w:cs="仿宋"/>
                <w:szCs w:val="21"/>
              </w:rPr>
              <w:t>金融机构应披露“重要客户”界定依据，例如可将报告期末授信余额排名前十的客户，或报告期末授信余额占各项贷款余额大于等于</w:t>
            </w:r>
            <w:r>
              <w:rPr>
                <w:rFonts w:ascii="宋体" w:hAnsi="宋体" w:eastAsia="宋体" w:cs="仿宋"/>
                <w:szCs w:val="21"/>
              </w:rPr>
              <w:t>1%的客户定义为重要客户</w:t>
            </w:r>
            <w:r>
              <w:rPr>
                <w:rFonts w:hint="eastAsia" w:ascii="宋体" w:hAnsi="宋体" w:eastAsia="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721" w:type="dxa"/>
            <w:vMerge w:val="restart"/>
            <w:tcBorders>
              <w:top w:val="single" w:color="auto" w:sz="4" w:space="0"/>
              <w:left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ascii="宋体" w:hAnsi="宋体" w:eastAsia="宋体" w:cs="仿宋"/>
                <w:szCs w:val="21"/>
              </w:rPr>
              <w:t>信托公司</w:t>
            </w:r>
          </w:p>
        </w:tc>
        <w:tc>
          <w:tcPr>
            <w:tcW w:w="3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30"/>
              <w:jc w:val="center"/>
              <w:rPr>
                <w:rFonts w:ascii="宋体" w:hAnsi="宋体" w:eastAsia="宋体" w:cs="仿宋"/>
                <w:szCs w:val="21"/>
              </w:rPr>
            </w:pPr>
            <w:r>
              <w:rPr>
                <w:rFonts w:hint="eastAsia" w:ascii="宋体" w:hAnsi="宋体" w:eastAsia="宋体" w:cs="仿宋"/>
                <w:szCs w:val="21"/>
              </w:rPr>
              <w:t>代客户管理的绿色投资资产</w:t>
            </w:r>
          </w:p>
        </w:tc>
        <w:tc>
          <w:tcPr>
            <w:tcW w:w="992" w:type="dxa"/>
            <w:tcBorders>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szCs w:val="21"/>
              </w:rPr>
              <w:t>强制</w:t>
            </w:r>
          </w:p>
        </w:tc>
        <w:tc>
          <w:tcPr>
            <w:tcW w:w="6440" w:type="dxa"/>
            <w:tcBorders>
              <w:left w:val="single" w:color="auto" w:sz="4" w:space="0"/>
              <w:right w:val="single" w:color="auto" w:sz="4" w:space="0"/>
            </w:tcBorders>
            <w:vAlign w:val="center"/>
          </w:tcPr>
          <w:p>
            <w:pPr>
              <w:rPr>
                <w:rFonts w:ascii="宋体" w:hAnsi="宋体" w:eastAsia="宋体" w:cs="仿宋"/>
                <w:szCs w:val="21"/>
              </w:rPr>
            </w:pPr>
            <w:r>
              <w:rPr>
                <w:rFonts w:ascii="宋体" w:hAnsi="宋体" w:eastAsia="宋体" w:cs="仿宋"/>
                <w:szCs w:val="21"/>
              </w:rPr>
              <w:t>信托公司应披露</w:t>
            </w:r>
            <w:r>
              <w:rPr>
                <w:rFonts w:hint="eastAsia" w:ascii="宋体" w:hAnsi="宋体" w:eastAsia="宋体" w:cs="仿宋"/>
                <w:szCs w:val="21"/>
              </w:rPr>
              <w:t>绿色投资</w:t>
            </w:r>
            <w:r>
              <w:rPr>
                <w:rFonts w:ascii="宋体" w:hAnsi="宋体" w:eastAsia="宋体" w:cs="仿宋"/>
                <w:szCs w:val="21"/>
              </w:rPr>
              <w:t>资产报告期末余额</w:t>
            </w:r>
            <w:r>
              <w:rPr>
                <w:rFonts w:hint="eastAsia" w:ascii="宋体" w:hAnsi="宋体" w:eastAsia="宋体" w:cs="仿宋"/>
                <w:szCs w:val="21"/>
              </w:rPr>
              <w:t>（万元），占代客户管理的资产总额比例（</w:t>
            </w:r>
            <w:r>
              <w:rPr>
                <w:rFonts w:ascii="宋体" w:hAnsi="宋体" w:eastAsia="宋体" w:cs="仿宋"/>
                <w:szCs w:val="21"/>
              </w:rPr>
              <w:t>%），</w:t>
            </w:r>
            <w:r>
              <w:rPr>
                <w:rFonts w:hint="eastAsia" w:ascii="宋体" w:hAnsi="宋体" w:eastAsia="宋体" w:cs="仿宋"/>
                <w:szCs w:val="21"/>
              </w:rPr>
              <w:t>及较上一报告期末的变动情况（</w:t>
            </w:r>
            <w:r>
              <w:rPr>
                <w:rFonts w:ascii="宋体" w:hAnsi="宋体" w:eastAsia="宋体" w:cs="仿宋"/>
                <w:szCs w:val="21"/>
              </w:rPr>
              <w:t>%）</w:t>
            </w:r>
            <w:r>
              <w:rPr>
                <w:rFonts w:hint="eastAsia" w:ascii="宋体" w:hAnsi="宋体" w:eastAsia="宋体" w:cs="仿宋"/>
                <w:szCs w:val="21"/>
              </w:rPr>
              <w:t>。</w:t>
            </w:r>
          </w:p>
          <w:p>
            <w:pPr>
              <w:rPr>
                <w:rFonts w:ascii="宋体" w:hAnsi="宋体" w:eastAsia="宋体" w:cs="仿宋"/>
                <w:szCs w:val="21"/>
              </w:rPr>
            </w:pPr>
            <w:r>
              <w:rPr>
                <w:rFonts w:hint="eastAsia" w:ascii="宋体" w:hAnsi="宋体" w:eastAsia="宋体" w:cs="仿宋"/>
                <w:szCs w:val="21"/>
              </w:rPr>
              <w:t>披露本指标时应对“绿色投资资产”的界定依据进行说明。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721" w:type="dxa"/>
            <w:vMerge w:val="continue"/>
            <w:tcBorders>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rPr>
                <w:rFonts w:ascii="宋体" w:hAnsi="宋体" w:eastAsia="宋体" w:cs="仿宋"/>
                <w:szCs w:val="21"/>
              </w:rPr>
            </w:pPr>
          </w:p>
        </w:tc>
        <w:tc>
          <w:tcPr>
            <w:tcW w:w="3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30"/>
              <w:jc w:val="center"/>
              <w:rPr>
                <w:rFonts w:ascii="宋体" w:hAnsi="宋体" w:eastAsia="宋体" w:cs="仿宋"/>
                <w:szCs w:val="21"/>
              </w:rPr>
            </w:pPr>
            <w:r>
              <w:rPr>
                <w:rFonts w:hint="eastAsia" w:ascii="宋体" w:hAnsi="宋体" w:eastAsia="宋体" w:cs="仿宋"/>
                <w:szCs w:val="21"/>
              </w:rPr>
              <w:t>开展绿色信托等业务所运用的绿色金融工具的投融资情况</w:t>
            </w:r>
          </w:p>
        </w:tc>
        <w:tc>
          <w:tcPr>
            <w:tcW w:w="992" w:type="dxa"/>
            <w:tcBorders>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szCs w:val="21"/>
              </w:rPr>
              <w:t>强制</w:t>
            </w:r>
          </w:p>
        </w:tc>
        <w:tc>
          <w:tcPr>
            <w:tcW w:w="6440" w:type="dxa"/>
            <w:tcBorders>
              <w:left w:val="single" w:color="auto" w:sz="4" w:space="0"/>
              <w:right w:val="single" w:color="auto" w:sz="4" w:space="0"/>
            </w:tcBorders>
            <w:vAlign w:val="center"/>
          </w:tcPr>
          <w:p>
            <w:pPr>
              <w:rPr>
                <w:rFonts w:ascii="宋体" w:hAnsi="宋体" w:eastAsia="宋体" w:cs="仿宋"/>
                <w:szCs w:val="21"/>
              </w:rPr>
            </w:pPr>
            <w:r>
              <w:rPr>
                <w:rFonts w:ascii="宋体" w:hAnsi="宋体" w:eastAsia="宋体" w:cs="仿宋"/>
                <w:szCs w:val="21"/>
              </w:rPr>
              <w:t>信托公司应</w:t>
            </w:r>
            <w:r>
              <w:rPr>
                <w:rFonts w:hint="eastAsia" w:ascii="宋体" w:hAnsi="宋体" w:eastAsia="宋体" w:cs="仿宋"/>
                <w:szCs w:val="21"/>
              </w:rPr>
              <w:t>分别</w:t>
            </w:r>
            <w:r>
              <w:rPr>
                <w:rFonts w:ascii="宋体" w:hAnsi="宋体" w:eastAsia="宋体" w:cs="仿宋"/>
                <w:szCs w:val="21"/>
              </w:rPr>
              <w:t>披露各类绿色金融工具报告期末的余额</w:t>
            </w:r>
            <w:r>
              <w:rPr>
                <w:rFonts w:hint="eastAsia" w:ascii="宋体" w:hAnsi="宋体" w:eastAsia="宋体" w:cs="仿宋"/>
                <w:szCs w:val="21"/>
              </w:rPr>
              <w:t>（万元），占绿色投融资资产总值的比例（%），及较上一报告期末的变动情况（%）。</w:t>
            </w:r>
          </w:p>
          <w:p>
            <w:pPr>
              <w:rPr>
                <w:rFonts w:ascii="宋体" w:hAnsi="宋体" w:eastAsia="宋体" w:cs="仿宋"/>
                <w:szCs w:val="21"/>
              </w:rPr>
            </w:pPr>
            <w:r>
              <w:rPr>
                <w:rFonts w:ascii="宋体" w:hAnsi="宋体" w:eastAsia="宋体" w:cs="仿宋"/>
                <w:szCs w:val="21"/>
              </w:rPr>
              <w:t>绿色金融工具包括绿色信托贷款</w:t>
            </w:r>
            <w:r>
              <w:rPr>
                <w:rFonts w:hint="eastAsia" w:ascii="宋体" w:hAnsi="宋体" w:eastAsia="宋体" w:cs="仿宋"/>
                <w:szCs w:val="21"/>
              </w:rPr>
              <w:t>、绿色股权投资、绿色债券投资、绿色资产证券化、绿色产业基金、绿色公益（慈善）信托等。</w:t>
            </w:r>
          </w:p>
          <w:p>
            <w:pPr>
              <w:rPr>
                <w:rFonts w:ascii="宋体" w:hAnsi="宋体" w:eastAsia="宋体" w:cs="仿宋"/>
                <w:szCs w:val="21"/>
              </w:rPr>
            </w:pPr>
            <w:r>
              <w:rPr>
                <w:rFonts w:hint="eastAsia" w:ascii="宋体" w:hAnsi="宋体" w:eastAsia="宋体" w:cs="仿宋"/>
                <w:szCs w:val="21"/>
              </w:rPr>
              <w:t>贴标绿色债券强制披露，鼓励披露未贴标的“投向绿”债券。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6"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721" w:type="dxa"/>
            <w:tcBorders>
              <w:left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ascii="宋体" w:hAnsi="宋体" w:eastAsia="宋体" w:cs="仿宋"/>
                <w:szCs w:val="21"/>
              </w:rPr>
              <w:t>金融租赁公司</w:t>
            </w:r>
          </w:p>
        </w:tc>
        <w:tc>
          <w:tcPr>
            <w:tcW w:w="3390" w:type="dxa"/>
            <w:gridSpan w:val="2"/>
            <w:tcBorders>
              <w:top w:val="single" w:color="auto" w:sz="4" w:space="0"/>
              <w:left w:val="single" w:color="auto" w:sz="4" w:space="0"/>
              <w:right w:val="single" w:color="auto" w:sz="4" w:space="0"/>
            </w:tcBorders>
            <w:shd w:val="clear" w:color="auto" w:fill="auto"/>
            <w:vAlign w:val="center"/>
          </w:tcPr>
          <w:p>
            <w:pPr>
              <w:ind w:left="30"/>
              <w:jc w:val="center"/>
              <w:rPr>
                <w:rFonts w:ascii="宋体" w:hAnsi="宋体" w:eastAsia="宋体" w:cs="仿宋"/>
                <w:szCs w:val="21"/>
              </w:rPr>
            </w:pPr>
            <w:r>
              <w:rPr>
                <w:rFonts w:hint="eastAsia" w:ascii="宋体" w:hAnsi="宋体" w:eastAsia="宋体" w:cs="仿宋"/>
                <w:szCs w:val="21"/>
              </w:rPr>
              <w:t>开展融资租赁业务所运用的绿色金融工具投融资情况</w:t>
            </w:r>
          </w:p>
        </w:tc>
        <w:tc>
          <w:tcPr>
            <w:tcW w:w="992" w:type="dxa"/>
            <w:tcBorders>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szCs w:val="21"/>
              </w:rPr>
              <w:t>强制</w:t>
            </w:r>
          </w:p>
        </w:tc>
        <w:tc>
          <w:tcPr>
            <w:tcW w:w="6440" w:type="dxa"/>
            <w:tcBorders>
              <w:left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金融租赁</w:t>
            </w:r>
            <w:r>
              <w:rPr>
                <w:rFonts w:ascii="宋体" w:hAnsi="宋体" w:eastAsia="宋体" w:cs="仿宋"/>
                <w:szCs w:val="21"/>
              </w:rPr>
              <w:t>公司应</w:t>
            </w:r>
            <w:r>
              <w:rPr>
                <w:rFonts w:hint="eastAsia" w:ascii="宋体" w:hAnsi="宋体" w:eastAsia="宋体" w:cs="仿宋"/>
                <w:szCs w:val="21"/>
              </w:rPr>
              <w:t>分别</w:t>
            </w:r>
            <w:r>
              <w:rPr>
                <w:rFonts w:ascii="宋体" w:hAnsi="宋体" w:eastAsia="宋体" w:cs="仿宋"/>
                <w:szCs w:val="21"/>
              </w:rPr>
              <w:t>披露各类绿色金融工具报告期末的余额</w:t>
            </w:r>
            <w:r>
              <w:rPr>
                <w:rFonts w:hint="eastAsia" w:ascii="宋体" w:hAnsi="宋体" w:eastAsia="宋体" w:cs="仿宋"/>
                <w:szCs w:val="21"/>
              </w:rPr>
              <w:t>（万元），占绿色投融资产总值的比例（%），及较上一报告期末的变动情况（%）。</w:t>
            </w:r>
          </w:p>
          <w:p>
            <w:pPr>
              <w:rPr>
                <w:rFonts w:ascii="宋体" w:hAnsi="宋体" w:eastAsia="宋体" w:cs="仿宋"/>
                <w:szCs w:val="21"/>
              </w:rPr>
            </w:pPr>
            <w:r>
              <w:rPr>
                <w:rFonts w:ascii="宋体" w:hAnsi="宋体" w:eastAsia="宋体" w:cs="仿宋"/>
                <w:szCs w:val="21"/>
              </w:rPr>
              <w:t>绿色金融工具包括</w:t>
            </w:r>
            <w:r>
              <w:rPr>
                <w:rFonts w:hint="eastAsia" w:ascii="宋体" w:hAnsi="宋体" w:eastAsia="宋体" w:cs="仿宋"/>
                <w:szCs w:val="21"/>
              </w:rPr>
              <w:t>绿色租赁、绿色股权投资、绿色债券投资、绿色资产证券化等。</w:t>
            </w:r>
          </w:p>
          <w:p>
            <w:pPr>
              <w:rPr>
                <w:rFonts w:ascii="宋体" w:hAnsi="宋体" w:eastAsia="宋体" w:cs="仿宋"/>
                <w:color w:val="FF0000"/>
                <w:szCs w:val="21"/>
              </w:rPr>
            </w:pPr>
            <w:r>
              <w:rPr>
                <w:rFonts w:hint="eastAsia" w:ascii="宋体" w:hAnsi="宋体" w:eastAsia="宋体" w:cs="仿宋"/>
                <w:szCs w:val="21"/>
              </w:rPr>
              <w:t>贴标绿色债券强制披露，鼓励披露未贴标的“投向绿”债券。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721" w:type="dxa"/>
            <w:vMerge w:val="restart"/>
            <w:tcBorders>
              <w:top w:val="single" w:color="auto" w:sz="4" w:space="0"/>
              <w:left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ascii="宋体" w:hAnsi="宋体" w:eastAsia="宋体" w:cs="仿宋"/>
                <w:szCs w:val="21"/>
              </w:rPr>
              <w:t>保险业金融机构</w:t>
            </w:r>
          </w:p>
        </w:tc>
        <w:tc>
          <w:tcPr>
            <w:tcW w:w="3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
                <w:szCs w:val="21"/>
              </w:rPr>
            </w:pPr>
            <w:r>
              <w:rPr>
                <w:rFonts w:ascii="宋体" w:hAnsi="宋体" w:eastAsia="宋体" w:cs="仿宋"/>
                <w:szCs w:val="21"/>
              </w:rPr>
              <w:t>绿色保险产品与服务</w:t>
            </w:r>
          </w:p>
        </w:tc>
        <w:tc>
          <w:tcPr>
            <w:tcW w:w="992" w:type="dxa"/>
            <w:tcBorders>
              <w:left w:val="single" w:color="auto" w:sz="4" w:space="0"/>
              <w:right w:val="single" w:color="auto" w:sz="4" w:space="0"/>
            </w:tcBorders>
            <w:vAlign w:val="center"/>
          </w:tcPr>
          <w:p>
            <w:pPr>
              <w:jc w:val="center"/>
              <w:rPr>
                <w:rFonts w:ascii="宋体" w:hAnsi="宋体" w:eastAsia="宋体" w:cs="仿宋"/>
                <w:szCs w:val="21"/>
              </w:rPr>
            </w:pPr>
            <w:r>
              <w:rPr>
                <w:rFonts w:ascii="宋体" w:hAnsi="宋体" w:eastAsia="宋体" w:cs="仿宋"/>
                <w:szCs w:val="21"/>
              </w:rPr>
              <w:t>强制</w:t>
            </w:r>
          </w:p>
        </w:tc>
        <w:tc>
          <w:tcPr>
            <w:tcW w:w="6440" w:type="dxa"/>
            <w:tcBorders>
              <w:left w:val="single" w:color="auto" w:sz="4" w:space="0"/>
              <w:right w:val="single" w:color="auto" w:sz="4" w:space="0"/>
            </w:tcBorders>
            <w:vAlign w:val="center"/>
          </w:tcPr>
          <w:p>
            <w:pPr>
              <w:rPr>
                <w:rFonts w:ascii="宋体" w:hAnsi="宋体" w:eastAsia="宋体" w:cs="仿宋"/>
                <w:szCs w:val="21"/>
              </w:rPr>
            </w:pPr>
            <w:r>
              <w:rPr>
                <w:rFonts w:ascii="宋体" w:hAnsi="宋体" w:eastAsia="宋体" w:cs="仿宋"/>
                <w:szCs w:val="21"/>
              </w:rPr>
              <w:t>保险业金融机构应</w:t>
            </w:r>
            <w:r>
              <w:rPr>
                <w:rFonts w:hint="eastAsia" w:ascii="宋体" w:hAnsi="宋体" w:eastAsia="宋体" w:cs="仿宋"/>
                <w:szCs w:val="21"/>
              </w:rPr>
              <w:t>按绿色</w:t>
            </w:r>
            <w:r>
              <w:rPr>
                <w:rFonts w:ascii="宋体" w:hAnsi="宋体" w:eastAsia="宋体" w:cs="仿宋"/>
                <w:szCs w:val="21"/>
              </w:rPr>
              <w:t>保险</w:t>
            </w:r>
            <w:r>
              <w:rPr>
                <w:rFonts w:hint="eastAsia" w:ascii="宋体" w:hAnsi="宋体" w:eastAsia="宋体" w:cs="仿宋"/>
                <w:szCs w:val="21"/>
              </w:rPr>
              <w:t>产品类别分别披露</w:t>
            </w:r>
            <w:r>
              <w:rPr>
                <w:rFonts w:ascii="宋体" w:hAnsi="宋体" w:eastAsia="宋体" w:cs="仿宋"/>
                <w:szCs w:val="21"/>
              </w:rPr>
              <w:t>报告期末产品承保情况</w:t>
            </w:r>
            <w:r>
              <w:rPr>
                <w:rFonts w:hint="eastAsia" w:ascii="宋体" w:hAnsi="宋体" w:eastAsia="宋体" w:cs="仿宋"/>
                <w:szCs w:val="21"/>
              </w:rPr>
              <w:t>，及</w:t>
            </w:r>
            <w:r>
              <w:rPr>
                <w:rFonts w:ascii="宋体" w:hAnsi="宋体" w:eastAsia="宋体" w:cs="仿宋"/>
                <w:szCs w:val="21"/>
              </w:rPr>
              <w:t>较上一报告期末的变动情况</w:t>
            </w:r>
            <w:r>
              <w:rPr>
                <w:rFonts w:hint="eastAsia" w:ascii="宋体" w:hAnsi="宋体" w:eastAsia="宋体" w:cs="仿宋"/>
                <w:szCs w:val="21"/>
              </w:rPr>
              <w:t>。</w:t>
            </w:r>
          </w:p>
          <w:p>
            <w:pPr>
              <w:rPr>
                <w:rFonts w:ascii="宋体" w:hAnsi="宋体" w:eastAsia="宋体" w:cs="仿宋"/>
                <w:szCs w:val="21"/>
              </w:rPr>
            </w:pPr>
            <w:r>
              <w:rPr>
                <w:rFonts w:hint="eastAsia" w:ascii="宋体" w:hAnsi="宋体" w:eastAsia="宋体" w:cs="仿宋"/>
                <w:szCs w:val="21"/>
              </w:rPr>
              <w:t>绿色保险包括不限于环境污染风险保障类产品（环境污染责任保险、环境污染强制责任保险）、绿色产业风险保障类产品、农业风险保障类产品、绿色信贷风险保障类产品、巨灾风险保障类产品等。</w:t>
            </w:r>
            <w:r>
              <w:rPr>
                <w:rFonts w:ascii="宋体" w:hAnsi="宋体" w:eastAsia="宋体" w:cs="仿宋"/>
                <w:szCs w:val="21"/>
              </w:rPr>
              <w:t>披露本指标时应对</w:t>
            </w:r>
            <w:r>
              <w:rPr>
                <w:rFonts w:hint="eastAsia" w:ascii="宋体" w:hAnsi="宋体" w:eastAsia="宋体" w:cs="仿宋"/>
                <w:szCs w:val="21"/>
              </w:rPr>
              <w:t>“绿色保险”的界定依据进行说明。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721" w:type="dxa"/>
            <w:vMerge w:val="continue"/>
            <w:tcBorders>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rPr>
                <w:rFonts w:ascii="宋体" w:hAnsi="宋体" w:eastAsia="宋体" w:cs="仿宋"/>
                <w:szCs w:val="21"/>
              </w:rPr>
            </w:pPr>
          </w:p>
        </w:tc>
        <w:tc>
          <w:tcPr>
            <w:tcW w:w="3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29" w:leftChars="14"/>
              <w:jc w:val="center"/>
              <w:rPr>
                <w:rFonts w:ascii="宋体" w:hAnsi="宋体" w:eastAsia="宋体" w:cs="仿宋"/>
                <w:szCs w:val="21"/>
              </w:rPr>
            </w:pPr>
            <w:r>
              <w:rPr>
                <w:rFonts w:hint="eastAsia" w:ascii="宋体" w:hAnsi="宋体" w:eastAsia="宋体" w:cs="仿宋"/>
                <w:szCs w:val="21"/>
              </w:rPr>
              <w:t>保险资金投资于绿色</w:t>
            </w:r>
            <w:r>
              <w:rPr>
                <w:rFonts w:ascii="宋体" w:hAnsi="宋体" w:eastAsia="宋体" w:cs="仿宋"/>
                <w:szCs w:val="21"/>
              </w:rPr>
              <w:t>金融工具及绿色企业</w:t>
            </w:r>
            <w:r>
              <w:rPr>
                <w:rFonts w:hint="eastAsia" w:ascii="宋体" w:hAnsi="宋体" w:eastAsia="宋体" w:cs="仿宋"/>
                <w:szCs w:val="21"/>
              </w:rPr>
              <w:t>（项目）情况</w:t>
            </w:r>
          </w:p>
        </w:tc>
        <w:tc>
          <w:tcPr>
            <w:tcW w:w="992" w:type="dxa"/>
            <w:tcBorders>
              <w:left w:val="single" w:color="auto" w:sz="4" w:space="0"/>
              <w:right w:val="single" w:color="auto" w:sz="4" w:space="0"/>
            </w:tcBorders>
            <w:vAlign w:val="center"/>
          </w:tcPr>
          <w:p>
            <w:pPr>
              <w:jc w:val="center"/>
              <w:rPr>
                <w:rFonts w:ascii="宋体" w:hAnsi="宋体" w:eastAsia="宋体" w:cs="仿宋"/>
                <w:szCs w:val="21"/>
              </w:rPr>
            </w:pPr>
            <w:r>
              <w:rPr>
                <w:rFonts w:ascii="宋体" w:hAnsi="宋体" w:eastAsia="宋体" w:cs="仿宋"/>
                <w:szCs w:val="21"/>
              </w:rPr>
              <w:t>强制</w:t>
            </w:r>
          </w:p>
        </w:tc>
        <w:tc>
          <w:tcPr>
            <w:tcW w:w="6440" w:type="dxa"/>
            <w:tcBorders>
              <w:left w:val="single" w:color="auto" w:sz="4" w:space="0"/>
              <w:right w:val="single" w:color="auto" w:sz="4" w:space="0"/>
            </w:tcBorders>
            <w:vAlign w:val="center"/>
          </w:tcPr>
          <w:p>
            <w:pPr>
              <w:rPr>
                <w:rFonts w:ascii="宋体" w:hAnsi="宋体" w:eastAsia="宋体" w:cs="仿宋"/>
                <w:szCs w:val="21"/>
              </w:rPr>
            </w:pPr>
            <w:r>
              <w:rPr>
                <w:rFonts w:ascii="宋体" w:hAnsi="宋体" w:eastAsia="宋体" w:cs="仿宋"/>
                <w:szCs w:val="21"/>
              </w:rPr>
              <w:t>保险业金融机构应披露报告期末投资于绿色投资产品</w:t>
            </w:r>
            <w:r>
              <w:rPr>
                <w:rFonts w:hint="eastAsia" w:ascii="宋体" w:hAnsi="宋体" w:eastAsia="宋体" w:cs="仿宋"/>
                <w:szCs w:val="21"/>
              </w:rPr>
              <w:t>的</w:t>
            </w:r>
            <w:r>
              <w:rPr>
                <w:rFonts w:ascii="宋体" w:hAnsi="宋体" w:eastAsia="宋体" w:cs="仿宋"/>
                <w:szCs w:val="21"/>
              </w:rPr>
              <w:t>余额</w:t>
            </w:r>
            <w:r>
              <w:rPr>
                <w:rFonts w:hint="eastAsia" w:ascii="宋体" w:hAnsi="宋体" w:eastAsia="宋体" w:cs="仿宋"/>
                <w:szCs w:val="21"/>
              </w:rPr>
              <w:t>（万元），包括绿色企业（股权及证券）、绿色债券、绿色资产证券化、绿色产业基金、绿色主题基金等。</w:t>
            </w:r>
          </w:p>
          <w:p>
            <w:pPr>
              <w:rPr>
                <w:rFonts w:ascii="宋体" w:hAnsi="宋体" w:eastAsia="宋体" w:cs="仿宋"/>
                <w:szCs w:val="21"/>
              </w:rPr>
            </w:pPr>
            <w:r>
              <w:rPr>
                <w:rFonts w:ascii="宋体" w:hAnsi="宋体" w:eastAsia="宋体" w:cs="仿宋"/>
                <w:szCs w:val="21"/>
              </w:rPr>
              <w:t>披露本指标时应对</w:t>
            </w:r>
            <w:r>
              <w:rPr>
                <w:rFonts w:hint="eastAsia" w:ascii="宋体" w:hAnsi="宋体" w:eastAsia="宋体" w:cs="仿宋"/>
                <w:szCs w:val="21"/>
              </w:rPr>
              <w:t>“绿色投资产品”（包括绿色企业、绿色债券、绿色资产证券化、绿色产业基金、绿色主题基金）的界定依据或方法进行说明。</w:t>
            </w:r>
          </w:p>
          <w:p>
            <w:pPr>
              <w:rPr>
                <w:rFonts w:ascii="宋体" w:hAnsi="宋体" w:eastAsia="宋体" w:cs="仿宋"/>
                <w:szCs w:val="21"/>
              </w:rPr>
            </w:pPr>
            <w:r>
              <w:rPr>
                <w:rFonts w:hint="eastAsia" w:ascii="宋体" w:hAnsi="宋体" w:eastAsia="宋体" w:cs="仿宋"/>
                <w:szCs w:val="21"/>
              </w:rPr>
              <w:t>贴标绿色债券强制披露，鼓励披露未贴标的“投向绿”债券。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9"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721" w:type="dxa"/>
            <w:vMerge w:val="restart"/>
            <w:tcBorders>
              <w:top w:val="single" w:color="auto" w:sz="4" w:space="0"/>
              <w:left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证券公司、基金管理公司及前述机构依法设立从事资产管理业务的子公司</w:t>
            </w:r>
          </w:p>
        </w:tc>
        <w:tc>
          <w:tcPr>
            <w:tcW w:w="3390" w:type="dxa"/>
            <w:gridSpan w:val="2"/>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仿宋"/>
                <w:szCs w:val="21"/>
              </w:rPr>
            </w:pPr>
            <w:r>
              <w:rPr>
                <w:rFonts w:ascii="宋体" w:hAnsi="宋体" w:eastAsia="宋体" w:cs="仿宋"/>
                <w:szCs w:val="21"/>
              </w:rPr>
              <w:t>绿色</w:t>
            </w:r>
            <w:r>
              <w:rPr>
                <w:rFonts w:hint="eastAsia" w:ascii="宋体" w:hAnsi="宋体" w:eastAsia="宋体" w:cs="仿宋"/>
                <w:szCs w:val="21"/>
              </w:rPr>
              <w:t>资产管理产品</w:t>
            </w:r>
          </w:p>
        </w:tc>
        <w:tc>
          <w:tcPr>
            <w:tcW w:w="992" w:type="dxa"/>
            <w:vMerge w:val="restart"/>
            <w:tcBorders>
              <w:left w:val="single" w:color="auto" w:sz="4" w:space="0"/>
              <w:right w:val="single" w:color="auto" w:sz="4" w:space="0"/>
            </w:tcBorders>
            <w:vAlign w:val="center"/>
          </w:tcPr>
          <w:p>
            <w:pPr>
              <w:jc w:val="center"/>
              <w:rPr>
                <w:rFonts w:ascii="宋体" w:hAnsi="宋体" w:eastAsia="宋体" w:cs="仿宋"/>
                <w:szCs w:val="21"/>
              </w:rPr>
            </w:pPr>
            <w:r>
              <w:rPr>
                <w:rFonts w:ascii="宋体" w:hAnsi="宋体" w:eastAsia="宋体" w:cs="仿宋"/>
                <w:szCs w:val="21"/>
              </w:rPr>
              <w:t>强制</w:t>
            </w:r>
          </w:p>
        </w:tc>
        <w:tc>
          <w:tcPr>
            <w:tcW w:w="6440" w:type="dxa"/>
            <w:tcBorders>
              <w:left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证券业金融机构及基金管理公司应披露绿色主题资产管理产品发行及运作情况，包括报告期内新发行的绿色主题资产管理产品规模（万元），运作的所有绿色主题资产管理产品规模（万元），绿色主题资产管理产品占资产管理产品总规模的比例（</w:t>
            </w:r>
            <w:r>
              <w:rPr>
                <w:rFonts w:ascii="宋体" w:hAnsi="宋体" w:eastAsia="宋体"/>
                <w:szCs w:val="21"/>
              </w:rPr>
              <w:t>%）。</w:t>
            </w:r>
          </w:p>
          <w:p>
            <w:pPr>
              <w:rPr>
                <w:rFonts w:ascii="宋体" w:hAnsi="宋体" w:eastAsia="宋体" w:cs="仿宋"/>
                <w:szCs w:val="21"/>
              </w:rPr>
            </w:pPr>
            <w:r>
              <w:rPr>
                <w:rFonts w:ascii="宋体" w:hAnsi="宋体" w:eastAsia="宋体"/>
                <w:szCs w:val="21"/>
              </w:rPr>
              <w:t>披露本指标时应对</w:t>
            </w:r>
            <w:r>
              <w:rPr>
                <w:rFonts w:hint="eastAsia" w:ascii="宋体" w:hAnsi="宋体" w:eastAsia="宋体"/>
                <w:szCs w:val="21"/>
              </w:rPr>
              <w:t>“绿色资产管理产品”的界定依据或方法进行说明。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721" w:type="dxa"/>
            <w:vMerge w:val="continue"/>
            <w:tcBorders>
              <w:top w:val="single" w:color="auto" w:sz="4" w:space="0"/>
              <w:left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p>
        </w:tc>
        <w:tc>
          <w:tcPr>
            <w:tcW w:w="3390" w:type="dxa"/>
            <w:gridSpan w:val="2"/>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仿宋"/>
                <w:szCs w:val="21"/>
              </w:rPr>
            </w:pPr>
            <w:r>
              <w:rPr>
                <w:rFonts w:hint="eastAsia" w:ascii="宋体" w:hAnsi="宋体" w:eastAsia="宋体" w:cs="仿宋"/>
                <w:szCs w:val="21"/>
              </w:rPr>
              <w:t>自有及管理资产投资于绿色金融工具及绿色企业（项目）情况</w:t>
            </w:r>
          </w:p>
        </w:tc>
        <w:tc>
          <w:tcPr>
            <w:tcW w:w="992" w:type="dxa"/>
            <w:vMerge w:val="continue"/>
            <w:tcBorders>
              <w:left w:val="single" w:color="auto" w:sz="4" w:space="0"/>
              <w:right w:val="single" w:color="auto" w:sz="4" w:space="0"/>
            </w:tcBorders>
            <w:vAlign w:val="center"/>
          </w:tcPr>
          <w:p>
            <w:pPr>
              <w:jc w:val="center"/>
              <w:rPr>
                <w:rFonts w:ascii="宋体" w:hAnsi="宋体" w:eastAsia="宋体" w:cs="仿宋"/>
                <w:color w:val="FF0000"/>
                <w:szCs w:val="21"/>
              </w:rPr>
            </w:pPr>
          </w:p>
        </w:tc>
        <w:tc>
          <w:tcPr>
            <w:tcW w:w="6440" w:type="dxa"/>
            <w:tcBorders>
              <w:left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szCs w:val="21"/>
              </w:rPr>
              <w:t>证券业金融机构及基金管理公司应披露自有及管理的资产投资于</w:t>
            </w:r>
            <w:r>
              <w:rPr>
                <w:rFonts w:hint="eastAsia" w:ascii="宋体" w:hAnsi="宋体" w:eastAsia="宋体" w:cs="仿宋"/>
                <w:szCs w:val="21"/>
              </w:rPr>
              <w:t>绿色企业（股权及证券）、绿色债券、绿色资产证券化、绿色产业基金等的情况，包括报告期末资产市值（万元），占绿色投资资产总值的比例（%），较上一报告期末的变动情况（%）。</w:t>
            </w:r>
          </w:p>
          <w:p>
            <w:pPr>
              <w:rPr>
                <w:rFonts w:ascii="宋体" w:hAnsi="宋体" w:eastAsia="宋体"/>
                <w:color w:val="FF0000"/>
                <w:szCs w:val="21"/>
              </w:rPr>
            </w:pPr>
            <w:r>
              <w:rPr>
                <w:rFonts w:ascii="宋体" w:hAnsi="宋体" w:eastAsia="宋体"/>
                <w:szCs w:val="21"/>
              </w:rPr>
              <w:t>披露本指标时应对</w:t>
            </w:r>
            <w:r>
              <w:rPr>
                <w:rFonts w:hint="eastAsia" w:ascii="宋体" w:hAnsi="宋体" w:eastAsia="宋体"/>
                <w:szCs w:val="21"/>
              </w:rPr>
              <w:t>“绿色金融工具”“绿色企业（项目）”的界定依据或方法进行说明。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721" w:type="dxa"/>
            <w:vMerge w:val="continue"/>
            <w:tcBorders>
              <w:left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p>
        </w:tc>
        <w:tc>
          <w:tcPr>
            <w:tcW w:w="3390" w:type="dxa"/>
            <w:gridSpan w:val="2"/>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仿宋"/>
                <w:szCs w:val="21"/>
              </w:rPr>
            </w:pPr>
            <w:r>
              <w:rPr>
                <w:rFonts w:hint="eastAsia" w:ascii="宋体" w:hAnsi="宋体" w:eastAsia="宋体" w:cs="仿宋"/>
                <w:szCs w:val="21"/>
              </w:rPr>
              <w:t>其他绿色投融资服务</w:t>
            </w:r>
          </w:p>
        </w:tc>
        <w:tc>
          <w:tcPr>
            <w:tcW w:w="992" w:type="dxa"/>
            <w:tcBorders>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鼓励</w:t>
            </w:r>
          </w:p>
        </w:tc>
        <w:tc>
          <w:tcPr>
            <w:tcW w:w="6440" w:type="dxa"/>
            <w:tcBorders>
              <w:left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szCs w:val="21"/>
              </w:rPr>
              <w:t>包括</w:t>
            </w:r>
            <w:r>
              <w:rPr>
                <w:rFonts w:hint="eastAsia" w:ascii="宋体" w:hAnsi="宋体" w:eastAsia="宋体" w:cs="仿宋"/>
                <w:szCs w:val="21"/>
              </w:rPr>
              <w:t>绿色债券承销/发行、绿色企业上市等。</w:t>
            </w:r>
          </w:p>
          <w:p>
            <w:pPr>
              <w:rPr>
                <w:rFonts w:ascii="宋体" w:hAnsi="宋体" w:eastAsia="宋体"/>
                <w:szCs w:val="21"/>
              </w:rPr>
            </w:pPr>
            <w:r>
              <w:rPr>
                <w:rFonts w:ascii="宋体" w:hAnsi="宋体" w:eastAsia="宋体"/>
                <w:szCs w:val="21"/>
              </w:rPr>
              <w:t>披露本指标时应对相关服务的</w:t>
            </w:r>
            <w:r>
              <w:rPr>
                <w:rFonts w:hint="eastAsia" w:ascii="宋体" w:hAnsi="宋体" w:eastAsia="宋体"/>
                <w:szCs w:val="21"/>
              </w:rPr>
              <w:t>“绿色”属性界定依据或方法进行说明。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其他绿色投融资活动</w:t>
            </w:r>
          </w:p>
        </w:tc>
        <w:tc>
          <w:tcPr>
            <w:tcW w:w="992" w:type="dxa"/>
            <w:tcBorders>
              <w:left w:val="single" w:color="auto" w:sz="4" w:space="0"/>
              <w:right w:val="single" w:color="auto" w:sz="4" w:space="0"/>
            </w:tcBorders>
            <w:vAlign w:val="center"/>
          </w:tcPr>
          <w:p>
            <w:pPr>
              <w:jc w:val="center"/>
              <w:rPr>
                <w:rFonts w:ascii="宋体" w:hAnsi="宋体" w:eastAsia="宋体" w:cs="仿宋"/>
                <w:szCs w:val="21"/>
              </w:rPr>
            </w:pPr>
            <w:r>
              <w:rPr>
                <w:rFonts w:ascii="宋体" w:hAnsi="宋体" w:eastAsia="宋体" w:cs="仿宋"/>
                <w:szCs w:val="21"/>
              </w:rPr>
              <w:t>鼓励</w:t>
            </w:r>
          </w:p>
        </w:tc>
        <w:tc>
          <w:tcPr>
            <w:tcW w:w="6440" w:type="dxa"/>
            <w:tcBorders>
              <w:left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鼓励各类金融机构自行披露上述指标中未提及的其他绿色投融资产品及服务。</w:t>
            </w:r>
          </w:p>
          <w:p>
            <w:pPr>
              <w:rPr>
                <w:rFonts w:ascii="宋体" w:hAnsi="宋体" w:eastAsia="宋体" w:cs="仿宋"/>
                <w:szCs w:val="21"/>
              </w:rPr>
            </w:pPr>
            <w:r>
              <w:rPr>
                <w:rFonts w:ascii="宋体" w:hAnsi="宋体" w:eastAsia="宋体"/>
                <w:szCs w:val="21"/>
              </w:rPr>
              <w:t>披露本指标时应对相关服务的</w:t>
            </w:r>
            <w:r>
              <w:rPr>
                <w:rFonts w:hint="eastAsia" w:ascii="宋体" w:hAnsi="宋体" w:eastAsia="宋体"/>
                <w:szCs w:val="21"/>
              </w:rPr>
              <w:t>“绿色”属性界定依据或方法进行说明。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tcBorders>
              <w:top w:val="single" w:color="auto" w:sz="4" w:space="0"/>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棕色资产投资情况</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cs="Times New Roman" w:asciiTheme="minorEastAsia" w:hAnsiTheme="minorEastAsia"/>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鼓励</w:t>
            </w: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鼓励金融机构披露投向棕色资产的投融资余额、占比、变动情况。</w:t>
            </w:r>
          </w:p>
          <w:p>
            <w:pPr>
              <w:rPr>
                <w:rFonts w:ascii="宋体" w:hAnsi="宋体" w:eastAsia="宋体" w:cs="仿宋"/>
                <w:szCs w:val="21"/>
              </w:rPr>
            </w:pPr>
            <w:r>
              <w:rPr>
                <w:rFonts w:hint="eastAsia" w:ascii="宋体" w:hAnsi="宋体" w:eastAsia="宋体" w:cs="仿宋"/>
                <w:szCs w:val="21"/>
              </w:rPr>
              <w:t>金融机构披露该项指标时应说明棕色资产判断依据。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restart"/>
            <w:tcBorders>
              <w:top w:val="single" w:color="auto" w:sz="4" w:space="0"/>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绿色投融资活动环境效益</w:t>
            </w:r>
          </w:p>
        </w:tc>
        <w:tc>
          <w:tcPr>
            <w:tcW w:w="1249" w:type="dxa"/>
            <w:gridSpan w:val="2"/>
            <w:vMerge w:val="restart"/>
            <w:tcBorders>
              <w:top w:val="single" w:color="auto" w:sz="4" w:space="0"/>
              <w:left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ascii="宋体" w:hAnsi="宋体" w:eastAsia="宋体"/>
                <w:color w:val="000000"/>
                <w:szCs w:val="21"/>
              </w:rPr>
              <w:t>银行</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
                <w:szCs w:val="21"/>
              </w:rPr>
            </w:pPr>
            <w:r>
              <w:rPr>
                <w:rFonts w:ascii="宋体" w:hAnsi="宋体" w:eastAsia="宋体" w:cs="仿宋"/>
                <w:szCs w:val="21"/>
              </w:rPr>
              <w:t>绿色项目贷款的环境效益</w:t>
            </w:r>
          </w:p>
        </w:tc>
        <w:tc>
          <w:tcPr>
            <w:tcW w:w="992" w:type="dxa"/>
            <w:tcBorders>
              <w:top w:val="single" w:color="auto" w:sz="4" w:space="0"/>
              <w:left w:val="single" w:color="auto" w:sz="4" w:space="0"/>
              <w:right w:val="single" w:color="auto" w:sz="4" w:space="0"/>
            </w:tcBorders>
            <w:vAlign w:val="center"/>
          </w:tcPr>
          <w:p>
            <w:pPr>
              <w:jc w:val="center"/>
              <w:rPr>
                <w:rFonts w:ascii="宋体" w:hAnsi="宋体" w:eastAsia="宋体"/>
                <w:color w:val="000000"/>
                <w:szCs w:val="21"/>
              </w:rPr>
            </w:pPr>
            <w:r>
              <w:rPr>
                <w:rFonts w:hint="eastAsia" w:ascii="宋体" w:hAnsi="宋体" w:eastAsia="宋体"/>
                <w:color w:val="000000"/>
                <w:szCs w:val="21"/>
              </w:rPr>
              <w:t>强制</w:t>
            </w:r>
          </w:p>
        </w:tc>
        <w:tc>
          <w:tcPr>
            <w:tcW w:w="6440" w:type="dxa"/>
            <w:vMerge w:val="restart"/>
            <w:tcBorders>
              <w:top w:val="single" w:color="auto" w:sz="4" w:space="0"/>
              <w:left w:val="single" w:color="auto" w:sz="4" w:space="0"/>
              <w:right w:val="single" w:color="auto" w:sz="4" w:space="0"/>
            </w:tcBorders>
            <w:vAlign w:val="center"/>
          </w:tcPr>
          <w:p>
            <w:pPr>
              <w:rPr>
                <w:rFonts w:ascii="宋体" w:hAnsi="宋体" w:eastAsia="宋体"/>
                <w:color w:val="000000"/>
                <w:szCs w:val="21"/>
              </w:rPr>
            </w:pPr>
            <w:r>
              <w:rPr>
                <w:rFonts w:hint="eastAsia" w:ascii="宋体" w:hAnsi="宋体" w:eastAsia="宋体"/>
                <w:color w:val="000000"/>
                <w:szCs w:val="21"/>
              </w:rPr>
              <w:t>金融机构应披露支持的绿色项目所产生的环境效益。一般根据金融机构对项目的融（投）资额占项目总投资的比例分摊折算绿色项目产生的各类环境效益，金融机构绿色投融资活动的环境效益等于全部绿色项目的环境效益之和。</w:t>
            </w:r>
          </w:p>
          <w:p>
            <w:pPr>
              <w:rPr>
                <w:rFonts w:ascii="宋体" w:hAnsi="宋体" w:eastAsia="宋体"/>
                <w:color w:val="000000"/>
                <w:szCs w:val="21"/>
              </w:rPr>
            </w:pPr>
            <w:r>
              <w:rPr>
                <w:rFonts w:ascii="宋体" w:hAnsi="宋体" w:eastAsia="宋体"/>
                <w:color w:val="000000"/>
                <w:szCs w:val="21"/>
              </w:rPr>
              <w:t>金融机构应当披露投资的企业或项目产生的节能量</w:t>
            </w:r>
            <w:r>
              <w:rPr>
                <w:rFonts w:hint="eastAsia" w:ascii="宋体" w:hAnsi="宋体" w:eastAsia="宋体"/>
                <w:color w:val="000000"/>
                <w:szCs w:val="21"/>
              </w:rPr>
              <w:t>、</w:t>
            </w:r>
            <w:r>
              <w:rPr>
                <w:rFonts w:ascii="宋体" w:hAnsi="宋体" w:eastAsia="宋体"/>
                <w:color w:val="000000"/>
                <w:szCs w:val="21"/>
              </w:rPr>
              <w:t>碳减排量</w:t>
            </w:r>
            <w:r>
              <w:rPr>
                <w:rFonts w:hint="eastAsia" w:ascii="宋体" w:hAnsi="宋体" w:eastAsia="宋体"/>
                <w:color w:val="000000"/>
                <w:szCs w:val="21"/>
              </w:rPr>
              <w:t>、化学需氧量削减量、氨氮削减量、二氧化硫削减量、氮氧化物削减量、节水量、总氮削减量、总磷削减量；</w:t>
            </w:r>
          </w:p>
          <w:p>
            <w:pPr>
              <w:rPr>
                <w:rFonts w:ascii="宋体" w:hAnsi="宋体" w:eastAsia="宋体"/>
                <w:color w:val="000000"/>
                <w:szCs w:val="21"/>
              </w:rPr>
            </w:pPr>
            <w:r>
              <w:rPr>
                <w:rFonts w:ascii="宋体" w:hAnsi="宋体" w:eastAsia="宋体"/>
                <w:color w:val="000000"/>
                <w:szCs w:val="21"/>
              </w:rPr>
              <w:t>鼓励金融机构披露投资的绿色企业或绿色项目产生的</w:t>
            </w:r>
            <w:r>
              <w:rPr>
                <w:rFonts w:hint="eastAsia" w:ascii="宋体" w:hAnsi="宋体" w:eastAsia="宋体"/>
                <w:color w:val="000000"/>
                <w:szCs w:val="21"/>
              </w:rPr>
              <w:t>颗粒物减排量、挥发性有机物削减量、替代化石能源量、</w:t>
            </w:r>
            <w:r>
              <w:rPr>
                <w:rFonts w:hint="eastAsia" w:ascii="宋体" w:hAnsi="宋体" w:eastAsia="宋体" w:cs="仿宋"/>
                <w:szCs w:val="21"/>
              </w:rPr>
              <w:t>一氧化碳削减量、</w:t>
            </w:r>
            <w:r>
              <w:rPr>
                <w:rFonts w:hint="eastAsia" w:ascii="宋体" w:hAnsi="宋体" w:eastAsia="宋体"/>
                <w:color w:val="000000"/>
                <w:szCs w:val="21"/>
              </w:rPr>
              <w:t>碳氢化合物削减量、生化需氧量削减量、固体废物处理量、污水处理量、废气处理量、水资源循环利用量</w:t>
            </w:r>
            <w:r>
              <w:rPr>
                <w:rFonts w:hint="eastAsia" w:ascii="宋体" w:hAnsi="宋体" w:eastAsia="宋体" w:cs="Calibri"/>
                <w:color w:val="000000"/>
                <w:szCs w:val="21"/>
              </w:rPr>
              <w:t>、</w:t>
            </w:r>
            <w:r>
              <w:rPr>
                <w:rFonts w:hint="eastAsia" w:ascii="宋体" w:hAnsi="宋体" w:eastAsia="宋体"/>
                <w:color w:val="000000"/>
                <w:szCs w:val="21"/>
              </w:rPr>
              <w:t>固体废物循环利用量、清淤量、固碳量、释放氧气量、减少/替代化学农药施用量。</w:t>
            </w:r>
          </w:p>
          <w:p>
            <w:pPr>
              <w:rPr>
                <w:rFonts w:ascii="宋体" w:hAnsi="宋体" w:eastAsia="宋体"/>
                <w:color w:val="000000"/>
                <w:szCs w:val="21"/>
              </w:rPr>
            </w:pPr>
            <w:r>
              <w:rPr>
                <w:rFonts w:ascii="宋体" w:hAnsi="宋体" w:eastAsia="宋体"/>
                <w:color w:val="000000"/>
                <w:szCs w:val="21"/>
              </w:rPr>
              <w:t>鼓励金融机构投资的绿色企业或绿色项目的</w:t>
            </w:r>
            <w:r>
              <w:rPr>
                <w:rFonts w:hint="eastAsia" w:ascii="宋体" w:hAnsi="宋体" w:eastAsia="宋体"/>
                <w:color w:val="000000"/>
                <w:szCs w:val="21"/>
              </w:rPr>
              <w:t>污染达标治理面积、新增绿地面积、无毒无害原料生产与替代使用量、绿色建筑等级和面积、建设长度/里程</w:t>
            </w:r>
            <w:r>
              <w:rPr>
                <w:rFonts w:hint="eastAsia" w:ascii="宋体" w:hAnsi="宋体" w:eastAsia="宋体" w:cs="Calibri"/>
                <w:color w:val="000000"/>
                <w:szCs w:val="21"/>
              </w:rPr>
              <w:t>、</w:t>
            </w:r>
            <w:r>
              <w:rPr>
                <w:rFonts w:hint="eastAsia" w:ascii="宋体" w:hAnsi="宋体" w:eastAsia="宋体"/>
                <w:color w:val="000000"/>
                <w:szCs w:val="21"/>
              </w:rPr>
              <w:t>货运周转量、客运周转量。</w:t>
            </w:r>
          </w:p>
          <w:p>
            <w:pPr>
              <w:rPr>
                <w:rFonts w:ascii="宋体" w:hAnsi="宋体" w:eastAsia="宋体"/>
                <w:color w:val="000000"/>
                <w:szCs w:val="21"/>
              </w:rPr>
            </w:pPr>
            <w:r>
              <w:rPr>
                <w:rFonts w:hint="eastAsia" w:ascii="宋体" w:hAnsi="宋体" w:eastAsia="宋体"/>
                <w:color w:val="000000"/>
                <w:szCs w:val="21"/>
              </w:rPr>
              <w:t>鼓励金融机构披露具有生物多样性保护效益的投融资比例及效益、绿色产品/设施生产的投融资比例及效益、具有生态系统保护效益的投融资比例及效益、具有污染治理效益的投融资比例及效益、具有海绵城市建设效益的投融资比例及效益、具有土地节约效益的投融资比例及效益、具有防洪效益的投融资比例及效益、绿色服务的投融资比例及服务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249" w:type="dxa"/>
            <w:gridSpan w:val="2"/>
            <w:vMerge w:val="continue"/>
            <w:tcBorders>
              <w:left w:val="single" w:color="auto" w:sz="4" w:space="0"/>
              <w:right w:val="single" w:color="auto" w:sz="4" w:space="0"/>
            </w:tcBorders>
            <w:shd w:val="clear" w:color="auto" w:fill="auto"/>
            <w:tcMar>
              <w:top w:w="28" w:type="dxa"/>
              <w:left w:w="108" w:type="dxa"/>
              <w:bottom w:w="28" w:type="dxa"/>
              <w:right w:w="108" w:type="dxa"/>
            </w:tcMar>
            <w:vAlign w:val="center"/>
          </w:tcPr>
          <w:p>
            <w:pPr>
              <w:rPr>
                <w:rFonts w:ascii="宋体" w:hAnsi="宋体" w:eastAsia="宋体" w:cs="仿宋"/>
                <w:szCs w:val="21"/>
              </w:rPr>
            </w:pP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
                <w:szCs w:val="21"/>
              </w:rPr>
            </w:pPr>
            <w:r>
              <w:rPr>
                <w:rFonts w:ascii="宋体" w:hAnsi="宋体" w:eastAsia="宋体" w:cs="仿宋"/>
                <w:szCs w:val="21"/>
              </w:rPr>
              <w:t>绿色债券</w:t>
            </w:r>
            <w:r>
              <w:rPr>
                <w:rFonts w:hint="eastAsia" w:ascii="宋体" w:hAnsi="宋体" w:eastAsia="宋体" w:cs="仿宋"/>
                <w:szCs w:val="21"/>
              </w:rPr>
              <w:t>投资的环境效益</w:t>
            </w:r>
          </w:p>
        </w:tc>
        <w:tc>
          <w:tcPr>
            <w:tcW w:w="992" w:type="dxa"/>
            <w:tcBorders>
              <w:left w:val="single" w:color="auto" w:sz="4" w:space="0"/>
              <w:right w:val="single" w:color="auto" w:sz="4" w:space="0"/>
            </w:tcBorders>
            <w:vAlign w:val="center"/>
          </w:tcPr>
          <w:p>
            <w:pPr>
              <w:jc w:val="center"/>
              <w:rPr>
                <w:rFonts w:ascii="宋体" w:hAnsi="宋体" w:eastAsia="宋体"/>
                <w:color w:val="000000"/>
                <w:szCs w:val="21"/>
              </w:rPr>
            </w:pPr>
            <w:r>
              <w:rPr>
                <w:rFonts w:ascii="宋体" w:hAnsi="宋体" w:eastAsia="宋体"/>
                <w:color w:val="000000"/>
                <w:szCs w:val="21"/>
              </w:rPr>
              <w:t>强制</w:t>
            </w:r>
          </w:p>
        </w:tc>
        <w:tc>
          <w:tcPr>
            <w:tcW w:w="6440" w:type="dxa"/>
            <w:vMerge w:val="continue"/>
            <w:tcBorders>
              <w:left w:val="single" w:color="auto" w:sz="4" w:space="0"/>
              <w:right w:val="single" w:color="auto" w:sz="4" w:space="0"/>
            </w:tcBorders>
            <w:vAlign w:val="center"/>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249" w:type="dxa"/>
            <w:gridSpan w:val="2"/>
            <w:vMerge w:val="continue"/>
            <w:tcBorders>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rPr>
                <w:rFonts w:ascii="宋体" w:hAnsi="宋体" w:eastAsia="宋体" w:cs="仿宋"/>
                <w:szCs w:val="21"/>
              </w:rPr>
            </w:pP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
                <w:szCs w:val="21"/>
              </w:rPr>
            </w:pPr>
            <w:r>
              <w:rPr>
                <w:rFonts w:ascii="宋体" w:hAnsi="宋体" w:eastAsia="宋体" w:cs="仿宋"/>
                <w:szCs w:val="21"/>
              </w:rPr>
              <w:t>其他绿色金融产品及服务的环境效益</w:t>
            </w:r>
          </w:p>
        </w:tc>
        <w:tc>
          <w:tcPr>
            <w:tcW w:w="992" w:type="dxa"/>
            <w:tcBorders>
              <w:left w:val="single" w:color="auto" w:sz="4" w:space="0"/>
              <w:right w:val="single" w:color="auto" w:sz="4" w:space="0"/>
            </w:tcBorders>
            <w:vAlign w:val="center"/>
          </w:tcPr>
          <w:p>
            <w:pPr>
              <w:jc w:val="center"/>
              <w:rPr>
                <w:rFonts w:ascii="宋体" w:hAnsi="宋体" w:eastAsia="宋体"/>
                <w:color w:val="000000"/>
                <w:szCs w:val="21"/>
              </w:rPr>
            </w:pPr>
            <w:r>
              <w:rPr>
                <w:rFonts w:ascii="宋体" w:hAnsi="宋体" w:eastAsia="宋体"/>
                <w:color w:val="000000"/>
                <w:szCs w:val="21"/>
              </w:rPr>
              <w:t>鼓励</w:t>
            </w:r>
          </w:p>
        </w:tc>
        <w:tc>
          <w:tcPr>
            <w:tcW w:w="6440" w:type="dxa"/>
            <w:vMerge w:val="continue"/>
            <w:tcBorders>
              <w:left w:val="single" w:color="auto" w:sz="4" w:space="0"/>
              <w:right w:val="single" w:color="auto" w:sz="4" w:space="0"/>
            </w:tcBorders>
            <w:vAlign w:val="center"/>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249" w:type="dxa"/>
            <w:gridSpan w:val="2"/>
            <w:vMerge w:val="restart"/>
            <w:tcBorders>
              <w:top w:val="single" w:color="auto" w:sz="4" w:space="0"/>
              <w:left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olor w:val="000000"/>
                <w:szCs w:val="21"/>
              </w:rPr>
            </w:pPr>
            <w:r>
              <w:rPr>
                <w:rFonts w:hint="eastAsia" w:ascii="宋体" w:hAnsi="宋体" w:eastAsia="宋体"/>
                <w:color w:val="000000"/>
                <w:szCs w:val="21"/>
              </w:rPr>
              <w:t>信托</w:t>
            </w:r>
          </w:p>
          <w:p>
            <w:pPr>
              <w:jc w:val="center"/>
              <w:rPr>
                <w:rFonts w:ascii="宋体" w:hAnsi="宋体" w:eastAsia="宋体" w:cs="仿宋"/>
                <w:szCs w:val="21"/>
              </w:rPr>
            </w:pPr>
            <w:r>
              <w:rPr>
                <w:rFonts w:hint="eastAsia" w:ascii="宋体" w:hAnsi="宋体" w:eastAsia="宋体"/>
                <w:color w:val="000000"/>
                <w:szCs w:val="21"/>
              </w:rPr>
              <w:t>公司</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
                <w:szCs w:val="21"/>
              </w:rPr>
            </w:pPr>
            <w:r>
              <w:rPr>
                <w:rFonts w:ascii="宋体" w:hAnsi="宋体" w:eastAsia="宋体" w:cs="仿宋"/>
                <w:szCs w:val="21"/>
              </w:rPr>
              <w:t>绿色信托贷款</w:t>
            </w:r>
            <w:r>
              <w:rPr>
                <w:rFonts w:hint="eastAsia" w:ascii="宋体" w:hAnsi="宋体" w:eastAsia="宋体" w:cs="仿宋"/>
                <w:szCs w:val="21"/>
              </w:rPr>
              <w:t>（项目）、绿色债券投资的环境效益</w:t>
            </w:r>
          </w:p>
        </w:tc>
        <w:tc>
          <w:tcPr>
            <w:tcW w:w="992" w:type="dxa"/>
            <w:tcBorders>
              <w:left w:val="single" w:color="auto" w:sz="4" w:space="0"/>
              <w:right w:val="single" w:color="auto" w:sz="4" w:space="0"/>
            </w:tcBorders>
            <w:vAlign w:val="center"/>
          </w:tcPr>
          <w:p>
            <w:pPr>
              <w:jc w:val="center"/>
              <w:rPr>
                <w:rFonts w:ascii="宋体" w:hAnsi="宋体" w:eastAsia="宋体"/>
                <w:color w:val="000000"/>
                <w:szCs w:val="21"/>
              </w:rPr>
            </w:pPr>
            <w:r>
              <w:rPr>
                <w:rFonts w:ascii="宋体" w:hAnsi="宋体" w:eastAsia="宋体"/>
                <w:color w:val="000000"/>
                <w:szCs w:val="21"/>
              </w:rPr>
              <w:t>强制</w:t>
            </w:r>
          </w:p>
        </w:tc>
        <w:tc>
          <w:tcPr>
            <w:tcW w:w="6440" w:type="dxa"/>
            <w:vMerge w:val="continue"/>
            <w:tcBorders>
              <w:left w:val="single" w:color="auto" w:sz="4" w:space="0"/>
              <w:right w:val="single" w:color="auto" w:sz="4" w:space="0"/>
            </w:tcBorders>
            <w:vAlign w:val="center"/>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249" w:type="dxa"/>
            <w:gridSpan w:val="2"/>
            <w:vMerge w:val="continue"/>
            <w:tcBorders>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olor w:val="000000"/>
                <w:szCs w:val="21"/>
              </w:rPr>
            </w:pP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
                <w:szCs w:val="21"/>
              </w:rPr>
            </w:pPr>
            <w:r>
              <w:rPr>
                <w:rFonts w:hint="eastAsia" w:ascii="宋体" w:hAnsi="宋体" w:eastAsia="宋体" w:cs="仿宋"/>
                <w:szCs w:val="21"/>
              </w:rPr>
              <w:t>绿色股权投资、绿色资产证券化、绿色产业基金、绿色公益（慈善）信托的环境效益</w:t>
            </w:r>
          </w:p>
        </w:tc>
        <w:tc>
          <w:tcPr>
            <w:tcW w:w="992" w:type="dxa"/>
            <w:tcBorders>
              <w:left w:val="single" w:color="auto" w:sz="4" w:space="0"/>
              <w:right w:val="single" w:color="auto" w:sz="4" w:space="0"/>
            </w:tcBorders>
            <w:vAlign w:val="center"/>
          </w:tcPr>
          <w:p>
            <w:pPr>
              <w:jc w:val="center"/>
              <w:rPr>
                <w:rFonts w:ascii="宋体" w:hAnsi="宋体" w:eastAsia="宋体"/>
                <w:color w:val="000000"/>
                <w:szCs w:val="21"/>
              </w:rPr>
            </w:pPr>
            <w:r>
              <w:rPr>
                <w:rFonts w:hint="eastAsia" w:ascii="宋体" w:hAnsi="宋体" w:eastAsia="宋体"/>
                <w:color w:val="000000"/>
                <w:szCs w:val="21"/>
              </w:rPr>
              <w:t>鼓励</w:t>
            </w:r>
          </w:p>
        </w:tc>
        <w:tc>
          <w:tcPr>
            <w:tcW w:w="6440" w:type="dxa"/>
            <w:vMerge w:val="continue"/>
            <w:tcBorders>
              <w:left w:val="single" w:color="auto" w:sz="4" w:space="0"/>
              <w:right w:val="single" w:color="auto" w:sz="4" w:space="0"/>
            </w:tcBorders>
            <w:vAlign w:val="center"/>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249" w:type="dxa"/>
            <w:gridSpan w:val="2"/>
            <w:vMerge w:val="restart"/>
            <w:tcBorders>
              <w:top w:val="single" w:color="auto" w:sz="4" w:space="0"/>
              <w:left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olor w:val="000000"/>
                <w:szCs w:val="21"/>
              </w:rPr>
              <w:t>金融租赁公司</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
                <w:szCs w:val="21"/>
              </w:rPr>
            </w:pPr>
            <w:r>
              <w:rPr>
                <w:rFonts w:ascii="宋体" w:hAnsi="宋体" w:eastAsia="宋体" w:cs="仿宋"/>
                <w:szCs w:val="21"/>
              </w:rPr>
              <w:t>绿色债券</w:t>
            </w:r>
            <w:r>
              <w:rPr>
                <w:rFonts w:hint="eastAsia" w:ascii="宋体" w:hAnsi="宋体" w:eastAsia="宋体" w:cs="仿宋"/>
                <w:szCs w:val="21"/>
              </w:rPr>
              <w:t>投资的环境效益</w:t>
            </w:r>
          </w:p>
        </w:tc>
        <w:tc>
          <w:tcPr>
            <w:tcW w:w="992" w:type="dxa"/>
            <w:tcBorders>
              <w:left w:val="single" w:color="auto" w:sz="4" w:space="0"/>
              <w:right w:val="single" w:color="auto" w:sz="4" w:space="0"/>
            </w:tcBorders>
            <w:vAlign w:val="center"/>
          </w:tcPr>
          <w:p>
            <w:pPr>
              <w:jc w:val="center"/>
              <w:rPr>
                <w:rFonts w:ascii="宋体" w:hAnsi="宋体" w:eastAsia="宋体"/>
                <w:color w:val="000000"/>
                <w:szCs w:val="21"/>
              </w:rPr>
            </w:pPr>
            <w:r>
              <w:rPr>
                <w:rFonts w:hint="eastAsia" w:ascii="宋体" w:hAnsi="宋体" w:eastAsia="宋体"/>
                <w:color w:val="000000"/>
                <w:szCs w:val="21"/>
              </w:rPr>
              <w:t>强制</w:t>
            </w:r>
            <w:r>
              <w:rPr>
                <w:rFonts w:ascii="宋体" w:hAnsi="宋体" w:eastAsia="宋体"/>
                <w:color w:val="000000"/>
                <w:szCs w:val="21"/>
              </w:rPr>
              <w:t xml:space="preserve"> </w:t>
            </w:r>
          </w:p>
        </w:tc>
        <w:tc>
          <w:tcPr>
            <w:tcW w:w="6440" w:type="dxa"/>
            <w:vMerge w:val="continue"/>
            <w:tcBorders>
              <w:left w:val="single" w:color="auto" w:sz="4" w:space="0"/>
              <w:right w:val="single" w:color="auto" w:sz="4" w:space="0"/>
            </w:tcBorders>
            <w:vAlign w:val="center"/>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249" w:type="dxa"/>
            <w:gridSpan w:val="2"/>
            <w:vMerge w:val="continue"/>
            <w:tcBorders>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olor w:val="000000"/>
                <w:szCs w:val="21"/>
              </w:rPr>
            </w:pP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
                <w:szCs w:val="21"/>
              </w:rPr>
            </w:pPr>
            <w:r>
              <w:rPr>
                <w:rFonts w:ascii="宋体" w:hAnsi="宋体" w:eastAsia="宋体" w:cs="仿宋"/>
                <w:szCs w:val="21"/>
              </w:rPr>
              <w:t>绿色租赁</w:t>
            </w:r>
            <w:r>
              <w:rPr>
                <w:rFonts w:hint="eastAsia" w:ascii="宋体" w:hAnsi="宋体" w:eastAsia="宋体" w:cs="仿宋"/>
                <w:szCs w:val="21"/>
              </w:rPr>
              <w:t>、</w:t>
            </w:r>
            <w:r>
              <w:rPr>
                <w:rFonts w:ascii="宋体" w:hAnsi="宋体" w:eastAsia="宋体" w:cs="仿宋"/>
                <w:szCs w:val="21"/>
              </w:rPr>
              <w:t>绿色资产证券化</w:t>
            </w:r>
          </w:p>
        </w:tc>
        <w:tc>
          <w:tcPr>
            <w:tcW w:w="992" w:type="dxa"/>
            <w:tcBorders>
              <w:left w:val="single" w:color="auto" w:sz="4" w:space="0"/>
              <w:right w:val="single" w:color="auto" w:sz="4" w:space="0"/>
            </w:tcBorders>
            <w:vAlign w:val="center"/>
          </w:tcPr>
          <w:p>
            <w:pPr>
              <w:jc w:val="center"/>
              <w:rPr>
                <w:rFonts w:ascii="宋体" w:hAnsi="宋体" w:eastAsia="宋体"/>
                <w:color w:val="000000"/>
                <w:szCs w:val="21"/>
              </w:rPr>
            </w:pPr>
            <w:r>
              <w:rPr>
                <w:rFonts w:hint="eastAsia" w:ascii="宋体" w:hAnsi="宋体" w:eastAsia="宋体"/>
                <w:color w:val="000000"/>
                <w:szCs w:val="21"/>
              </w:rPr>
              <w:t>鼓励</w:t>
            </w:r>
          </w:p>
        </w:tc>
        <w:tc>
          <w:tcPr>
            <w:tcW w:w="6440" w:type="dxa"/>
            <w:vMerge w:val="continue"/>
            <w:tcBorders>
              <w:left w:val="single" w:color="auto" w:sz="4" w:space="0"/>
              <w:right w:val="single" w:color="auto" w:sz="4" w:space="0"/>
            </w:tcBorders>
            <w:vAlign w:val="center"/>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249" w:type="dxa"/>
            <w:gridSpan w:val="2"/>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olor w:val="000000"/>
                <w:szCs w:val="21"/>
              </w:rPr>
            </w:pPr>
            <w:r>
              <w:rPr>
                <w:rFonts w:hint="eastAsia" w:ascii="宋体" w:hAnsi="宋体" w:eastAsia="宋体"/>
                <w:color w:val="000000"/>
                <w:szCs w:val="21"/>
              </w:rPr>
              <w:t>保险</w:t>
            </w:r>
          </w:p>
          <w:p>
            <w:pPr>
              <w:jc w:val="center"/>
              <w:rPr>
                <w:rFonts w:ascii="宋体" w:hAnsi="宋体" w:eastAsia="宋体" w:cs="仿宋"/>
                <w:szCs w:val="21"/>
              </w:rPr>
            </w:pPr>
            <w:r>
              <w:rPr>
                <w:rFonts w:hint="eastAsia" w:ascii="宋体" w:hAnsi="宋体" w:eastAsia="宋体"/>
                <w:color w:val="000000"/>
                <w:szCs w:val="21"/>
              </w:rPr>
              <w:t>公司</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
                <w:szCs w:val="21"/>
              </w:rPr>
            </w:pPr>
            <w:r>
              <w:rPr>
                <w:rFonts w:hint="eastAsia" w:ascii="宋体" w:hAnsi="宋体" w:eastAsia="宋体" w:cs="仿宋"/>
                <w:szCs w:val="21"/>
              </w:rPr>
              <w:t>绿色保险产品、保险资金的绿色投资的环境效益</w:t>
            </w:r>
          </w:p>
        </w:tc>
        <w:tc>
          <w:tcPr>
            <w:tcW w:w="992" w:type="dxa"/>
            <w:tcBorders>
              <w:left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鼓励</w:t>
            </w:r>
          </w:p>
        </w:tc>
        <w:tc>
          <w:tcPr>
            <w:tcW w:w="6440" w:type="dxa"/>
            <w:vMerge w:val="continue"/>
            <w:tcBorders>
              <w:left w:val="single" w:color="auto" w:sz="4" w:space="0"/>
              <w:right w:val="single" w:color="auto" w:sz="4" w:space="0"/>
            </w:tcBorders>
            <w:vAlign w:val="center"/>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135" w:type="dxa"/>
            <w:vMerge w:val="continue"/>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249" w:type="dxa"/>
            <w:gridSpan w:val="2"/>
            <w:vMerge w:val="restart"/>
            <w:tcBorders>
              <w:top w:val="single" w:color="auto" w:sz="4" w:space="0"/>
              <w:left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证券公司、基金管理公司及前述机构依法设立从事资产管理业务的子公司</w:t>
            </w:r>
          </w:p>
        </w:tc>
        <w:tc>
          <w:tcPr>
            <w:tcW w:w="286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仿宋"/>
                <w:szCs w:val="21"/>
              </w:rPr>
            </w:pPr>
            <w:r>
              <w:rPr>
                <w:rFonts w:hint="eastAsia" w:ascii="宋体" w:hAnsi="宋体" w:eastAsia="宋体" w:cs="仿宋"/>
                <w:szCs w:val="21"/>
              </w:rPr>
              <w:t>绿色</w:t>
            </w:r>
            <w:r>
              <w:rPr>
                <w:rFonts w:ascii="宋体" w:hAnsi="宋体" w:eastAsia="宋体" w:cs="仿宋"/>
                <w:szCs w:val="21"/>
              </w:rPr>
              <w:t>资产管理产品</w:t>
            </w:r>
          </w:p>
          <w:p>
            <w:pPr>
              <w:jc w:val="center"/>
              <w:rPr>
                <w:rFonts w:ascii="宋体" w:hAnsi="宋体" w:eastAsia="宋体" w:cs="仿宋"/>
                <w:szCs w:val="21"/>
              </w:rPr>
            </w:pPr>
            <w:r>
              <w:rPr>
                <w:rFonts w:hint="eastAsia" w:ascii="宋体" w:hAnsi="宋体" w:eastAsia="宋体" w:cs="仿宋"/>
                <w:szCs w:val="21"/>
              </w:rPr>
              <w:t>的环境效益</w:t>
            </w:r>
          </w:p>
        </w:tc>
        <w:tc>
          <w:tcPr>
            <w:tcW w:w="992" w:type="dxa"/>
            <w:tcBorders>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鼓励</w:t>
            </w:r>
          </w:p>
        </w:tc>
        <w:tc>
          <w:tcPr>
            <w:tcW w:w="6440" w:type="dxa"/>
            <w:vMerge w:val="continue"/>
            <w:tcBorders>
              <w:left w:val="single" w:color="auto" w:sz="4" w:space="0"/>
              <w:bottom w:val="single" w:color="auto" w:sz="4" w:space="0"/>
              <w:right w:val="single" w:color="auto" w:sz="4" w:space="0"/>
            </w:tcBorders>
            <w:vAlign w:val="center"/>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135" w:type="dxa"/>
            <w:vMerge w:val="continue"/>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249" w:type="dxa"/>
            <w:gridSpan w:val="2"/>
            <w:vMerge w:val="continue"/>
            <w:tcBorders>
              <w:left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olor w:val="000000"/>
                <w:szCs w:val="21"/>
              </w:rPr>
            </w:pPr>
          </w:p>
        </w:tc>
        <w:tc>
          <w:tcPr>
            <w:tcW w:w="286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仿宋"/>
                <w:szCs w:val="21"/>
              </w:rPr>
            </w:pPr>
            <w:r>
              <w:rPr>
                <w:rFonts w:hint="eastAsia" w:ascii="宋体" w:hAnsi="宋体" w:eastAsia="宋体" w:cs="仿宋"/>
                <w:szCs w:val="21"/>
              </w:rPr>
              <w:t>投资对象环境信息披露情况</w:t>
            </w:r>
          </w:p>
        </w:tc>
        <w:tc>
          <w:tcPr>
            <w:tcW w:w="992" w:type="dxa"/>
            <w:tcBorders>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强制</w:t>
            </w:r>
          </w:p>
        </w:tc>
        <w:tc>
          <w:tcPr>
            <w:tcW w:w="6440" w:type="dxa"/>
            <w:tcBorders>
              <w:left w:val="single" w:color="auto" w:sz="4" w:space="0"/>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eastAsia="宋体"/>
                <w:color w:val="000000"/>
                <w:szCs w:val="21"/>
              </w:rPr>
              <w:t>证券业金融机构及基金管理公司应披露基于资产管理产品直接投资项目企业的环境信息披露情况。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restart"/>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整体投融资活动碳排放</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投融资活动碳排放量</w:t>
            </w:r>
          </w:p>
        </w:tc>
        <w:tc>
          <w:tcPr>
            <w:tcW w:w="992"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金融机构投融资活动总体碳排放量为所有投融资活动产生的温室气体排放量的总和。</w:t>
            </w:r>
          </w:p>
          <w:p>
            <w:pPr>
              <w:rPr>
                <w:rFonts w:ascii="宋体" w:hAnsi="宋体" w:eastAsia="宋体" w:cs="仿宋"/>
                <w:szCs w:val="21"/>
              </w:rPr>
            </w:pPr>
            <w:r>
              <w:rPr>
                <w:rFonts w:hint="eastAsia" w:ascii="宋体" w:hAnsi="宋体" w:eastAsia="宋体" w:cs="仿宋"/>
                <w:szCs w:val="21"/>
              </w:rPr>
              <w:t>其中，银行应参照人民银行《金融机构碳核算技术指南》，按项目融资与非项目融资分别披露信贷业务排放量；其他金融机构可参考人民银行《金融机构碳核算技术指南》、</w:t>
            </w:r>
            <w:r>
              <w:rPr>
                <w:rFonts w:ascii="宋体" w:hAnsi="宋体" w:eastAsia="宋体" w:cs="仿宋"/>
                <w:szCs w:val="21"/>
              </w:rPr>
              <w:t>TCFD《实施气候相关财务信息披露的建议》、PCAF《全球金融行业温室气体核算和报告标准》</w:t>
            </w:r>
            <w:r>
              <w:rPr>
                <w:rFonts w:hint="eastAsia" w:ascii="宋体" w:hAnsi="宋体" w:eastAsia="宋体" w:cs="仿宋"/>
                <w:szCs w:val="21"/>
              </w:rPr>
              <w:t>等国内外相关标准开展投融资活动碳排放核算，并对采用的核算方法、参数、假设等进行说明。</w:t>
            </w:r>
          </w:p>
          <w:p>
            <w:pPr>
              <w:rPr>
                <w:rFonts w:ascii="宋体" w:hAnsi="宋体" w:eastAsia="宋体" w:cs="仿宋"/>
                <w:szCs w:val="21"/>
              </w:rPr>
            </w:pPr>
            <w:r>
              <w:rPr>
                <w:rFonts w:hint="eastAsia" w:ascii="宋体" w:hAnsi="宋体" w:eastAsia="宋体" w:cs="仿宋"/>
                <w:szCs w:val="21"/>
              </w:rPr>
              <w:t>披露本指标时应说明报告部分投融资业务占同类型业务的比例，比例可按照报告的业务数量或业务金额进行计算。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投融资活动碳排放强度</w:t>
            </w:r>
          </w:p>
        </w:tc>
        <w:tc>
          <w:tcPr>
            <w:tcW w:w="992" w:type="dxa"/>
            <w:vMerge w:val="continue"/>
            <w:tcBorders>
              <w:top w:val="single" w:color="auto" w:sz="4" w:space="0"/>
              <w:left w:val="single" w:color="auto" w:sz="4" w:space="0"/>
              <w:right w:val="single" w:color="auto" w:sz="4" w:space="0"/>
            </w:tcBorders>
            <w:vAlign w:val="center"/>
          </w:tcPr>
          <w:p>
            <w:pPr>
              <w:jc w:val="center"/>
              <w:rPr>
                <w:rFonts w:ascii="宋体" w:hAnsi="宋体" w:eastAsia="宋体" w:cs="仿宋"/>
                <w:szCs w:val="21"/>
              </w:rPr>
            </w:pP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以余额（或市场价值）标准化的投融资活动碳排放量，单位为吨二氧化碳当量</w:t>
            </w:r>
            <w:r>
              <w:rPr>
                <w:rFonts w:ascii="宋体" w:hAnsi="宋体" w:eastAsia="宋体" w:cs="仿宋"/>
                <w:szCs w:val="21"/>
              </w:rPr>
              <w:t>/</w:t>
            </w:r>
            <w:r>
              <w:rPr>
                <w:rFonts w:hint="eastAsia" w:ascii="宋体" w:hAnsi="宋体" w:eastAsia="宋体" w:cs="仿宋"/>
                <w:szCs w:val="21"/>
              </w:rPr>
              <w:t>百万元。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投融资活动碳核算计划</w:t>
            </w:r>
          </w:p>
        </w:tc>
        <w:tc>
          <w:tcPr>
            <w:tcW w:w="992"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仿宋"/>
                <w:szCs w:val="21"/>
              </w:rPr>
            </w:pP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金融机构应对测算、披露其投融资业务碳排放量的计划以及该计划的执行情况进行说明。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ascii="宋体" w:hAnsi="宋体" w:eastAsia="宋体" w:cs="仿宋"/>
                <w:szCs w:val="21"/>
              </w:rPr>
              <w:t>能力建设</w:t>
            </w:r>
          </w:p>
        </w:tc>
        <w:tc>
          <w:tcPr>
            <w:tcW w:w="1417" w:type="dxa"/>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rPr>
              <w:t>宣传教育</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rPr>
                <w:rFonts w:ascii="宋体" w:hAnsi="宋体" w:eastAsia="宋体" w:cs="仿宋"/>
                <w:szCs w:val="21"/>
              </w:rPr>
            </w:pPr>
            <w:r>
              <w:rPr>
                <w:rFonts w:ascii="宋体" w:hAnsi="宋体" w:eastAsia="宋体"/>
              </w:rPr>
              <w:t>为提升员工及社会大众的环保意识所举办的培训活动或公益活动的情况</w:t>
            </w:r>
          </w:p>
        </w:tc>
        <w:tc>
          <w:tcPr>
            <w:tcW w:w="992" w:type="dxa"/>
            <w:tcBorders>
              <w:left w:val="single" w:color="auto" w:sz="4" w:space="0"/>
              <w:bottom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鼓励</w:t>
            </w: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报告期内面向员工及社会大众开展的各类环保培训及公益活动，建议披露活动内容、参与人次、活动效果等信息。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restart"/>
            <w:tcBorders>
              <w:top w:val="single" w:color="auto" w:sz="4" w:space="0"/>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创新及研究</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绿色金融创新实践案例</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cs="Times New Roman" w:asciiTheme="minorEastAsia" w:hAnsiTheme="minorEastAsia"/>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鼓励</w:t>
            </w: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指金融机构在绿色金融、碳达峰碳中和领域开展的产品服务创新及管理机制创新。金融机构应披露创新案例背景、主要做法、主要成效、相关产品/业务规模等。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restart"/>
            <w:tcBorders>
              <w:top w:val="single" w:color="auto" w:sz="4" w:space="0"/>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绿色金融成果奖项</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绿色金融、环境风险分析相关研究成果</w:t>
            </w:r>
          </w:p>
        </w:tc>
        <w:tc>
          <w:tcPr>
            <w:tcW w:w="992"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仿宋"/>
                <w:szCs w:val="21"/>
              </w:rPr>
            </w:pPr>
            <w:r>
              <w:rPr>
                <w:rFonts w:ascii="宋体" w:hAnsi="宋体" w:eastAsia="宋体" w:cs="仿宋"/>
                <w:szCs w:val="21"/>
              </w:rPr>
              <w:t>强制</w:t>
            </w:r>
          </w:p>
        </w:tc>
        <w:tc>
          <w:tcPr>
            <w:tcW w:w="6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Cs w:val="21"/>
              </w:rPr>
            </w:pPr>
            <w:r>
              <w:rPr>
                <w:rFonts w:hint="eastAsia"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ascii="宋体" w:hAnsi="宋体" w:eastAsia="宋体" w:cs="仿宋"/>
                <w:szCs w:val="21"/>
              </w:rPr>
              <w:t>绿色金融奖项</w:t>
            </w:r>
          </w:p>
        </w:tc>
        <w:tc>
          <w:tcPr>
            <w:tcW w:w="992" w:type="dxa"/>
            <w:vMerge w:val="continue"/>
            <w:tcBorders>
              <w:left w:val="single" w:color="auto" w:sz="4" w:space="0"/>
              <w:right w:val="single" w:color="auto" w:sz="4" w:space="0"/>
            </w:tcBorders>
            <w:vAlign w:val="center"/>
          </w:tcPr>
          <w:p>
            <w:pPr>
              <w:jc w:val="center"/>
              <w:rPr>
                <w:rFonts w:ascii="宋体" w:hAnsi="宋体" w:eastAsia="宋体" w:cs="仿宋"/>
                <w:szCs w:val="21"/>
              </w:rPr>
            </w:pP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报告期内获得的权威机构授予的绿色金融相关奖项。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绿色金融</w:t>
            </w:r>
          </w:p>
          <w:p>
            <w:pPr>
              <w:jc w:val="center"/>
              <w:rPr>
                <w:rFonts w:ascii="宋体" w:hAnsi="宋体" w:eastAsia="宋体" w:cs="仿宋"/>
                <w:szCs w:val="21"/>
              </w:rPr>
            </w:pPr>
            <w:r>
              <w:rPr>
                <w:rFonts w:hint="eastAsia" w:ascii="宋体" w:hAnsi="宋体" w:eastAsia="宋体" w:cs="仿宋"/>
                <w:szCs w:val="21"/>
              </w:rPr>
              <w:t>研究</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cs="Times New Roman" w:asciiTheme="minorEastAsia" w:hAnsiTheme="minorEastAsia"/>
                <w:szCs w:val="21"/>
              </w:rPr>
              <w:t>/</w:t>
            </w:r>
          </w:p>
        </w:tc>
        <w:tc>
          <w:tcPr>
            <w:tcW w:w="992" w:type="dxa"/>
            <w:tcBorders>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鼓励</w:t>
            </w: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金融机构开展或参与的绿色金融相关课题研究及成果。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restart"/>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ascii="宋体" w:hAnsi="宋体" w:eastAsia="宋体" w:cs="仿宋"/>
                <w:szCs w:val="21"/>
              </w:rPr>
              <w:t>数据质量管理</w:t>
            </w:r>
          </w:p>
        </w:tc>
        <w:tc>
          <w:tcPr>
            <w:tcW w:w="1417" w:type="dxa"/>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数据梳理、校验及保护</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cs="Times New Roman" w:asciiTheme="minorEastAsia" w:hAnsiTheme="minorEastAsia"/>
                <w:szCs w:val="21"/>
              </w:rPr>
              <w:t>/</w:t>
            </w:r>
          </w:p>
        </w:tc>
        <w:tc>
          <w:tcPr>
            <w:tcW w:w="992" w:type="dxa"/>
            <w:vMerge w:val="restart"/>
            <w:tcBorders>
              <w:left w:val="single" w:color="auto" w:sz="4" w:space="0"/>
              <w:right w:val="single" w:color="auto" w:sz="4" w:space="0"/>
            </w:tcBorders>
            <w:vAlign w:val="center"/>
          </w:tcPr>
          <w:p>
            <w:pPr>
              <w:jc w:val="center"/>
              <w:rPr>
                <w:rFonts w:ascii="宋体" w:hAnsi="宋体" w:eastAsia="宋体" w:cs="仿宋"/>
                <w:szCs w:val="21"/>
              </w:rPr>
            </w:pPr>
            <w:r>
              <w:rPr>
                <w:rFonts w:hint="eastAsia" w:ascii="宋体" w:hAnsi="宋体" w:eastAsia="宋体" w:cs="仿宋"/>
                <w:szCs w:val="21"/>
              </w:rPr>
              <w:t>强制</w:t>
            </w: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金融机构应披露内部的环境相关统计数据收集、校验、管理流程，以及为保障数据安全性和数据主体权益采取的措施，包括定期对本机构环境相关统计数据质量开展梳理和校验工作，建立数据管理系统及流程，进一步提升相关基础数据质量及保证数据的及时性与准确性；加强环境数据管理的信息化建设，采用技术手段保证数据安全性和数据主体权益。</w:t>
            </w:r>
          </w:p>
          <w:p>
            <w:pPr>
              <w:rPr>
                <w:rFonts w:ascii="宋体" w:hAnsi="宋体" w:eastAsia="宋体" w:cs="仿宋"/>
                <w:szCs w:val="21"/>
              </w:rPr>
            </w:pPr>
            <w:r>
              <w:rPr>
                <w:rFonts w:hint="eastAsia" w:ascii="宋体" w:hAnsi="宋体" w:eastAsia="宋体" w:cs="仿宋"/>
                <w:szCs w:val="21"/>
              </w:rPr>
              <w:t>金融机构应披露本机构现有数据梳理、校验及保护机制的建设进展或计划。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135" w:type="dxa"/>
            <w:vMerge w:val="continue"/>
            <w:tcBorders>
              <w:left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p>
        </w:tc>
        <w:tc>
          <w:tcPr>
            <w:tcW w:w="1417" w:type="dxa"/>
            <w:tcBorders>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jc w:val="center"/>
              <w:rPr>
                <w:rFonts w:ascii="宋体" w:hAnsi="宋体" w:eastAsia="宋体" w:cs="仿宋"/>
                <w:szCs w:val="21"/>
              </w:rPr>
            </w:pPr>
            <w:r>
              <w:rPr>
                <w:rFonts w:hint="eastAsia" w:ascii="宋体" w:hAnsi="宋体" w:eastAsia="宋体" w:cs="仿宋"/>
                <w:szCs w:val="21"/>
              </w:rPr>
              <w:t>数据安全应急预案</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tcMar>
              <w:top w:w="28" w:type="dxa"/>
              <w:left w:w="108" w:type="dxa"/>
              <w:bottom w:w="28" w:type="dxa"/>
              <w:right w:w="108" w:type="dxa"/>
            </w:tcMar>
            <w:vAlign w:val="center"/>
          </w:tcPr>
          <w:p>
            <w:pPr>
              <w:jc w:val="center"/>
              <w:rPr>
                <w:rFonts w:ascii="宋体" w:hAnsi="宋体" w:eastAsia="宋体" w:cs="仿宋"/>
                <w:szCs w:val="21"/>
              </w:rPr>
            </w:pPr>
            <w:r>
              <w:rPr>
                <w:rFonts w:hint="eastAsia" w:cs="Times New Roman" w:asciiTheme="minorEastAsia" w:hAnsiTheme="minorEastAsia"/>
                <w:szCs w:val="21"/>
              </w:rPr>
              <w:t>/</w:t>
            </w:r>
          </w:p>
        </w:tc>
        <w:tc>
          <w:tcPr>
            <w:tcW w:w="992"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仿宋"/>
                <w:szCs w:val="21"/>
              </w:rPr>
            </w:pPr>
          </w:p>
        </w:tc>
        <w:tc>
          <w:tcPr>
            <w:tcW w:w="6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金融机构应披露对可能发生的数据安全事件或数据安全事故建立的应急预案情况。</w:t>
            </w:r>
          </w:p>
          <w:p>
            <w:pPr>
              <w:rPr>
                <w:rFonts w:ascii="宋体" w:hAnsi="宋体" w:eastAsia="宋体" w:cs="仿宋"/>
                <w:szCs w:val="21"/>
              </w:rPr>
            </w:pPr>
            <w:r>
              <w:rPr>
                <w:rFonts w:hint="eastAsia" w:ascii="宋体" w:hAnsi="宋体" w:eastAsia="宋体" w:cs="仿宋"/>
                <w:szCs w:val="21"/>
              </w:rPr>
              <w:t>金融机构应披露本机构现有工作进展或计划。</w:t>
            </w:r>
          </w:p>
        </w:tc>
      </w:tr>
    </w:tbl>
    <w:p>
      <w:pPr>
        <w:rPr>
          <w:rFonts w:ascii="仿宋" w:hAnsi="仿宋" w:eastAsia="仿宋" w:cs="仿宋"/>
          <w:color w:val="000000"/>
          <w:sz w:val="28"/>
          <w:szCs w:val="28"/>
        </w:rPr>
      </w:pPr>
    </w:p>
    <w:p>
      <w:pPr>
        <w:spacing w:line="360" w:lineRule="auto"/>
        <w:rPr>
          <w:rFonts w:ascii="Times New Roman" w:hAnsi="Times New Roman" w:eastAsia="仿宋_GB2312"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Unicode MS">
    <w:altName w:val="DejaVu Sans"/>
    <w:panose1 w:val="020B0604020202020204"/>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6187780"/>
      <w:docPartObj>
        <w:docPartGallery w:val="autotext"/>
      </w:docPartObj>
    </w:sdtPr>
    <w:sdtContent>
      <w:p>
        <w:pPr>
          <w:pStyle w:val="5"/>
          <w:jc w:val="center"/>
        </w:pPr>
        <w:r>
          <w:fldChar w:fldCharType="begin"/>
        </w:r>
        <w:r>
          <w:instrText xml:space="preserve">PAGE   \* MERGEFORMAT</w:instrText>
        </w:r>
        <w:r>
          <w:fldChar w:fldCharType="separate"/>
        </w:r>
        <w:r>
          <w:rPr>
            <w:lang w:val="zh-CN"/>
          </w:rPr>
          <w:t>16</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7B"/>
    <w:rsid w:val="00003265"/>
    <w:rsid w:val="0000768D"/>
    <w:rsid w:val="000119AB"/>
    <w:rsid w:val="000122C3"/>
    <w:rsid w:val="000148AC"/>
    <w:rsid w:val="000256D4"/>
    <w:rsid w:val="00031D79"/>
    <w:rsid w:val="00034956"/>
    <w:rsid w:val="00037EC6"/>
    <w:rsid w:val="00041051"/>
    <w:rsid w:val="00045E08"/>
    <w:rsid w:val="000469AF"/>
    <w:rsid w:val="000479C9"/>
    <w:rsid w:val="00051F8B"/>
    <w:rsid w:val="00052CD8"/>
    <w:rsid w:val="00065DFF"/>
    <w:rsid w:val="00073CCF"/>
    <w:rsid w:val="000801AB"/>
    <w:rsid w:val="00082AC1"/>
    <w:rsid w:val="00084D11"/>
    <w:rsid w:val="00087A18"/>
    <w:rsid w:val="0009371A"/>
    <w:rsid w:val="00094BDF"/>
    <w:rsid w:val="00097388"/>
    <w:rsid w:val="000A31B6"/>
    <w:rsid w:val="000A5A9F"/>
    <w:rsid w:val="000B0F17"/>
    <w:rsid w:val="000B431A"/>
    <w:rsid w:val="000B4922"/>
    <w:rsid w:val="000C0567"/>
    <w:rsid w:val="000D205E"/>
    <w:rsid w:val="000D30F5"/>
    <w:rsid w:val="000F31A0"/>
    <w:rsid w:val="000F3461"/>
    <w:rsid w:val="000F3C75"/>
    <w:rsid w:val="000F53C8"/>
    <w:rsid w:val="000F53DE"/>
    <w:rsid w:val="00103D14"/>
    <w:rsid w:val="001050C8"/>
    <w:rsid w:val="001072EC"/>
    <w:rsid w:val="00110B43"/>
    <w:rsid w:val="00110DD9"/>
    <w:rsid w:val="00115147"/>
    <w:rsid w:val="00115F42"/>
    <w:rsid w:val="001169C1"/>
    <w:rsid w:val="00126D8D"/>
    <w:rsid w:val="00131525"/>
    <w:rsid w:val="001338E0"/>
    <w:rsid w:val="001433EA"/>
    <w:rsid w:val="00146BB3"/>
    <w:rsid w:val="001477EA"/>
    <w:rsid w:val="0015442D"/>
    <w:rsid w:val="001546DA"/>
    <w:rsid w:val="0016220F"/>
    <w:rsid w:val="00166C3A"/>
    <w:rsid w:val="00177ED8"/>
    <w:rsid w:val="00190CE9"/>
    <w:rsid w:val="001924FE"/>
    <w:rsid w:val="001A04AC"/>
    <w:rsid w:val="001A0C2A"/>
    <w:rsid w:val="001B05E0"/>
    <w:rsid w:val="001B280D"/>
    <w:rsid w:val="001B50F3"/>
    <w:rsid w:val="001C7612"/>
    <w:rsid w:val="001D42DD"/>
    <w:rsid w:val="001D7C90"/>
    <w:rsid w:val="001E1504"/>
    <w:rsid w:val="001E3A81"/>
    <w:rsid w:val="00203430"/>
    <w:rsid w:val="00206562"/>
    <w:rsid w:val="002071A6"/>
    <w:rsid w:val="0022345F"/>
    <w:rsid w:val="00224937"/>
    <w:rsid w:val="002320B8"/>
    <w:rsid w:val="00232FEF"/>
    <w:rsid w:val="00245FF8"/>
    <w:rsid w:val="00252D20"/>
    <w:rsid w:val="00253D10"/>
    <w:rsid w:val="0026008A"/>
    <w:rsid w:val="00261B28"/>
    <w:rsid w:val="002624D8"/>
    <w:rsid w:val="00262FB8"/>
    <w:rsid w:val="002642E6"/>
    <w:rsid w:val="00270BF9"/>
    <w:rsid w:val="0027742F"/>
    <w:rsid w:val="002931A4"/>
    <w:rsid w:val="00293DB1"/>
    <w:rsid w:val="002A5581"/>
    <w:rsid w:val="002A7CA5"/>
    <w:rsid w:val="002B14FB"/>
    <w:rsid w:val="002B4E04"/>
    <w:rsid w:val="002B588D"/>
    <w:rsid w:val="002C3978"/>
    <w:rsid w:val="002D1344"/>
    <w:rsid w:val="002D7692"/>
    <w:rsid w:val="002D7843"/>
    <w:rsid w:val="002E41E6"/>
    <w:rsid w:val="00310029"/>
    <w:rsid w:val="00310EED"/>
    <w:rsid w:val="00311433"/>
    <w:rsid w:val="003143F4"/>
    <w:rsid w:val="00315AD2"/>
    <w:rsid w:val="0032786B"/>
    <w:rsid w:val="00327E4A"/>
    <w:rsid w:val="00332456"/>
    <w:rsid w:val="0033265D"/>
    <w:rsid w:val="00335361"/>
    <w:rsid w:val="0034620E"/>
    <w:rsid w:val="003463DA"/>
    <w:rsid w:val="00350FD2"/>
    <w:rsid w:val="00352A76"/>
    <w:rsid w:val="00353B9B"/>
    <w:rsid w:val="003557EA"/>
    <w:rsid w:val="003613D4"/>
    <w:rsid w:val="003618C8"/>
    <w:rsid w:val="00363610"/>
    <w:rsid w:val="003638DC"/>
    <w:rsid w:val="003725AA"/>
    <w:rsid w:val="00383716"/>
    <w:rsid w:val="003A4F1C"/>
    <w:rsid w:val="003C2CBD"/>
    <w:rsid w:val="003C6175"/>
    <w:rsid w:val="003E245F"/>
    <w:rsid w:val="003E45C5"/>
    <w:rsid w:val="003E665B"/>
    <w:rsid w:val="003F1FAD"/>
    <w:rsid w:val="003F2737"/>
    <w:rsid w:val="00407FC7"/>
    <w:rsid w:val="0041729C"/>
    <w:rsid w:val="00427125"/>
    <w:rsid w:val="00433143"/>
    <w:rsid w:val="00434D13"/>
    <w:rsid w:val="004442FC"/>
    <w:rsid w:val="00447617"/>
    <w:rsid w:val="00455FC7"/>
    <w:rsid w:val="00457C43"/>
    <w:rsid w:val="00472FA3"/>
    <w:rsid w:val="00474BCD"/>
    <w:rsid w:val="00484750"/>
    <w:rsid w:val="00492B93"/>
    <w:rsid w:val="00494B75"/>
    <w:rsid w:val="004C4F00"/>
    <w:rsid w:val="004C7430"/>
    <w:rsid w:val="004C78E4"/>
    <w:rsid w:val="004E001C"/>
    <w:rsid w:val="004E36F9"/>
    <w:rsid w:val="004E3DEC"/>
    <w:rsid w:val="004F06AA"/>
    <w:rsid w:val="004F17AC"/>
    <w:rsid w:val="00511278"/>
    <w:rsid w:val="00515001"/>
    <w:rsid w:val="00515C76"/>
    <w:rsid w:val="00525D63"/>
    <w:rsid w:val="00527039"/>
    <w:rsid w:val="005302E5"/>
    <w:rsid w:val="00530AA3"/>
    <w:rsid w:val="005314BA"/>
    <w:rsid w:val="0053218B"/>
    <w:rsid w:val="0055024D"/>
    <w:rsid w:val="00574BB8"/>
    <w:rsid w:val="0057514F"/>
    <w:rsid w:val="005807AE"/>
    <w:rsid w:val="005A600F"/>
    <w:rsid w:val="005B067D"/>
    <w:rsid w:val="005B49BE"/>
    <w:rsid w:val="005B4C5D"/>
    <w:rsid w:val="005C33AE"/>
    <w:rsid w:val="005C7CD6"/>
    <w:rsid w:val="005D05B5"/>
    <w:rsid w:val="005D47F3"/>
    <w:rsid w:val="005E04D6"/>
    <w:rsid w:val="005F1ABB"/>
    <w:rsid w:val="005F1D54"/>
    <w:rsid w:val="005F6562"/>
    <w:rsid w:val="00603BE1"/>
    <w:rsid w:val="00614651"/>
    <w:rsid w:val="00614DEB"/>
    <w:rsid w:val="00620CA0"/>
    <w:rsid w:val="006233DB"/>
    <w:rsid w:val="006307B7"/>
    <w:rsid w:val="006442D5"/>
    <w:rsid w:val="00651E01"/>
    <w:rsid w:val="00655C2F"/>
    <w:rsid w:val="00655E17"/>
    <w:rsid w:val="00655F92"/>
    <w:rsid w:val="006566A4"/>
    <w:rsid w:val="006615E4"/>
    <w:rsid w:val="00661F1C"/>
    <w:rsid w:val="0069071C"/>
    <w:rsid w:val="0069111F"/>
    <w:rsid w:val="00695D30"/>
    <w:rsid w:val="006A1738"/>
    <w:rsid w:val="006A4F89"/>
    <w:rsid w:val="006A6CC1"/>
    <w:rsid w:val="006B001C"/>
    <w:rsid w:val="006B15AE"/>
    <w:rsid w:val="006B225B"/>
    <w:rsid w:val="006B5424"/>
    <w:rsid w:val="006B67B5"/>
    <w:rsid w:val="006C0DCF"/>
    <w:rsid w:val="006C327A"/>
    <w:rsid w:val="006C4A60"/>
    <w:rsid w:val="006D2CAF"/>
    <w:rsid w:val="006D7F8C"/>
    <w:rsid w:val="006E4BE7"/>
    <w:rsid w:val="006E60BC"/>
    <w:rsid w:val="006E7895"/>
    <w:rsid w:val="006F49C0"/>
    <w:rsid w:val="007026EA"/>
    <w:rsid w:val="00703214"/>
    <w:rsid w:val="00712C82"/>
    <w:rsid w:val="00723880"/>
    <w:rsid w:val="00730F37"/>
    <w:rsid w:val="0073249E"/>
    <w:rsid w:val="00741BE7"/>
    <w:rsid w:val="00745B66"/>
    <w:rsid w:val="0074775B"/>
    <w:rsid w:val="00750A39"/>
    <w:rsid w:val="007526E7"/>
    <w:rsid w:val="007539C9"/>
    <w:rsid w:val="0078210B"/>
    <w:rsid w:val="00782215"/>
    <w:rsid w:val="00784B81"/>
    <w:rsid w:val="007A0E7D"/>
    <w:rsid w:val="007A5CC8"/>
    <w:rsid w:val="007B40C5"/>
    <w:rsid w:val="007C56E1"/>
    <w:rsid w:val="007D588E"/>
    <w:rsid w:val="007E7651"/>
    <w:rsid w:val="007F2394"/>
    <w:rsid w:val="00800AA0"/>
    <w:rsid w:val="00823A43"/>
    <w:rsid w:val="00842EDF"/>
    <w:rsid w:val="00845EA7"/>
    <w:rsid w:val="00847F93"/>
    <w:rsid w:val="00853767"/>
    <w:rsid w:val="00854B03"/>
    <w:rsid w:val="008555AC"/>
    <w:rsid w:val="0086491B"/>
    <w:rsid w:val="008653AA"/>
    <w:rsid w:val="00866965"/>
    <w:rsid w:val="008828A3"/>
    <w:rsid w:val="00883921"/>
    <w:rsid w:val="00886ACF"/>
    <w:rsid w:val="008A16E1"/>
    <w:rsid w:val="008A7523"/>
    <w:rsid w:val="008B5545"/>
    <w:rsid w:val="008B587C"/>
    <w:rsid w:val="008E024E"/>
    <w:rsid w:val="008F4251"/>
    <w:rsid w:val="008F4F02"/>
    <w:rsid w:val="00901C2E"/>
    <w:rsid w:val="00904981"/>
    <w:rsid w:val="00907FF2"/>
    <w:rsid w:val="009108E4"/>
    <w:rsid w:val="0091104E"/>
    <w:rsid w:val="0091581E"/>
    <w:rsid w:val="009329F4"/>
    <w:rsid w:val="00937411"/>
    <w:rsid w:val="009400EF"/>
    <w:rsid w:val="0094157B"/>
    <w:rsid w:val="0095015E"/>
    <w:rsid w:val="0095176B"/>
    <w:rsid w:val="009564F1"/>
    <w:rsid w:val="0095691C"/>
    <w:rsid w:val="00960960"/>
    <w:rsid w:val="00970BB8"/>
    <w:rsid w:val="00973F9B"/>
    <w:rsid w:val="00984731"/>
    <w:rsid w:val="0098588D"/>
    <w:rsid w:val="00986938"/>
    <w:rsid w:val="009933A9"/>
    <w:rsid w:val="009974CA"/>
    <w:rsid w:val="009A2803"/>
    <w:rsid w:val="009A4D67"/>
    <w:rsid w:val="009B6801"/>
    <w:rsid w:val="009C2B8A"/>
    <w:rsid w:val="009C6BC8"/>
    <w:rsid w:val="009C6E51"/>
    <w:rsid w:val="009C7855"/>
    <w:rsid w:val="009D1A24"/>
    <w:rsid w:val="009D581F"/>
    <w:rsid w:val="00A036D8"/>
    <w:rsid w:val="00A1003E"/>
    <w:rsid w:val="00A1655E"/>
    <w:rsid w:val="00A22E3B"/>
    <w:rsid w:val="00A231FE"/>
    <w:rsid w:val="00A24DF1"/>
    <w:rsid w:val="00A25D06"/>
    <w:rsid w:val="00A339C7"/>
    <w:rsid w:val="00A37631"/>
    <w:rsid w:val="00A430EB"/>
    <w:rsid w:val="00A436F6"/>
    <w:rsid w:val="00A43B8C"/>
    <w:rsid w:val="00A44011"/>
    <w:rsid w:val="00A55F44"/>
    <w:rsid w:val="00A6062D"/>
    <w:rsid w:val="00A612B9"/>
    <w:rsid w:val="00A70D09"/>
    <w:rsid w:val="00A8355C"/>
    <w:rsid w:val="00A95CD2"/>
    <w:rsid w:val="00A9753B"/>
    <w:rsid w:val="00AA7BD9"/>
    <w:rsid w:val="00AB0EE6"/>
    <w:rsid w:val="00AC2C39"/>
    <w:rsid w:val="00AC42D0"/>
    <w:rsid w:val="00AC72CC"/>
    <w:rsid w:val="00AD2325"/>
    <w:rsid w:val="00AD3A28"/>
    <w:rsid w:val="00AE00D7"/>
    <w:rsid w:val="00AE563E"/>
    <w:rsid w:val="00AF5257"/>
    <w:rsid w:val="00AF57B1"/>
    <w:rsid w:val="00B054B1"/>
    <w:rsid w:val="00B060AB"/>
    <w:rsid w:val="00B07980"/>
    <w:rsid w:val="00B116E5"/>
    <w:rsid w:val="00B16DA1"/>
    <w:rsid w:val="00B17AE1"/>
    <w:rsid w:val="00B22B56"/>
    <w:rsid w:val="00B26255"/>
    <w:rsid w:val="00B317AC"/>
    <w:rsid w:val="00B37B08"/>
    <w:rsid w:val="00B42227"/>
    <w:rsid w:val="00B42B66"/>
    <w:rsid w:val="00B50B48"/>
    <w:rsid w:val="00B541ED"/>
    <w:rsid w:val="00B545A1"/>
    <w:rsid w:val="00B56DF4"/>
    <w:rsid w:val="00B60296"/>
    <w:rsid w:val="00B675BE"/>
    <w:rsid w:val="00B7465A"/>
    <w:rsid w:val="00B85B52"/>
    <w:rsid w:val="00B87993"/>
    <w:rsid w:val="00B95CED"/>
    <w:rsid w:val="00BA19BA"/>
    <w:rsid w:val="00BB7AA1"/>
    <w:rsid w:val="00BC0FB8"/>
    <w:rsid w:val="00BC45A7"/>
    <w:rsid w:val="00BC7B8C"/>
    <w:rsid w:val="00BD0C2A"/>
    <w:rsid w:val="00BE09EB"/>
    <w:rsid w:val="00BE4069"/>
    <w:rsid w:val="00BE56DA"/>
    <w:rsid w:val="00C045B5"/>
    <w:rsid w:val="00C0575C"/>
    <w:rsid w:val="00C077BF"/>
    <w:rsid w:val="00C15F77"/>
    <w:rsid w:val="00C227A2"/>
    <w:rsid w:val="00C27872"/>
    <w:rsid w:val="00C279F6"/>
    <w:rsid w:val="00C50F90"/>
    <w:rsid w:val="00C52D1F"/>
    <w:rsid w:val="00C632E7"/>
    <w:rsid w:val="00C7080B"/>
    <w:rsid w:val="00C75280"/>
    <w:rsid w:val="00C76EC9"/>
    <w:rsid w:val="00C876AE"/>
    <w:rsid w:val="00C93CFA"/>
    <w:rsid w:val="00C955DF"/>
    <w:rsid w:val="00CA2763"/>
    <w:rsid w:val="00CA28A7"/>
    <w:rsid w:val="00CA5D19"/>
    <w:rsid w:val="00CA7B47"/>
    <w:rsid w:val="00CB1C14"/>
    <w:rsid w:val="00CB2BFF"/>
    <w:rsid w:val="00CB7C28"/>
    <w:rsid w:val="00CC14C1"/>
    <w:rsid w:val="00CC4792"/>
    <w:rsid w:val="00CC6BA2"/>
    <w:rsid w:val="00CD346A"/>
    <w:rsid w:val="00CF0E35"/>
    <w:rsid w:val="00CF3219"/>
    <w:rsid w:val="00CF4554"/>
    <w:rsid w:val="00D04FDE"/>
    <w:rsid w:val="00D07613"/>
    <w:rsid w:val="00D12606"/>
    <w:rsid w:val="00D16DEA"/>
    <w:rsid w:val="00D226E2"/>
    <w:rsid w:val="00D22D18"/>
    <w:rsid w:val="00D259E4"/>
    <w:rsid w:val="00D362E2"/>
    <w:rsid w:val="00D50FF5"/>
    <w:rsid w:val="00D5242C"/>
    <w:rsid w:val="00D524FB"/>
    <w:rsid w:val="00D57A6D"/>
    <w:rsid w:val="00D6425D"/>
    <w:rsid w:val="00D64E34"/>
    <w:rsid w:val="00D85B9D"/>
    <w:rsid w:val="00D9511B"/>
    <w:rsid w:val="00DA01BE"/>
    <w:rsid w:val="00DA1AFA"/>
    <w:rsid w:val="00DA266D"/>
    <w:rsid w:val="00DA47B1"/>
    <w:rsid w:val="00DB0769"/>
    <w:rsid w:val="00DB36F9"/>
    <w:rsid w:val="00DB5857"/>
    <w:rsid w:val="00DB6EF5"/>
    <w:rsid w:val="00DC0476"/>
    <w:rsid w:val="00DD0EF7"/>
    <w:rsid w:val="00DD32C2"/>
    <w:rsid w:val="00DE09CC"/>
    <w:rsid w:val="00DE5F41"/>
    <w:rsid w:val="00DE69F0"/>
    <w:rsid w:val="00DF1090"/>
    <w:rsid w:val="00DF127B"/>
    <w:rsid w:val="00DF2DD9"/>
    <w:rsid w:val="00E0174A"/>
    <w:rsid w:val="00E01EC5"/>
    <w:rsid w:val="00E045D2"/>
    <w:rsid w:val="00E05A10"/>
    <w:rsid w:val="00E14991"/>
    <w:rsid w:val="00E14AC7"/>
    <w:rsid w:val="00E177D1"/>
    <w:rsid w:val="00E21E89"/>
    <w:rsid w:val="00E22BA2"/>
    <w:rsid w:val="00E22CFC"/>
    <w:rsid w:val="00E31462"/>
    <w:rsid w:val="00E545F4"/>
    <w:rsid w:val="00E55CFB"/>
    <w:rsid w:val="00E55F78"/>
    <w:rsid w:val="00E61B01"/>
    <w:rsid w:val="00E61ECD"/>
    <w:rsid w:val="00E65E03"/>
    <w:rsid w:val="00E856C4"/>
    <w:rsid w:val="00E90E7B"/>
    <w:rsid w:val="00E943C7"/>
    <w:rsid w:val="00EA39D0"/>
    <w:rsid w:val="00EA65FF"/>
    <w:rsid w:val="00EA7D48"/>
    <w:rsid w:val="00EB6651"/>
    <w:rsid w:val="00EC044F"/>
    <w:rsid w:val="00ED077F"/>
    <w:rsid w:val="00ED47C1"/>
    <w:rsid w:val="00EE100A"/>
    <w:rsid w:val="00EE4EEB"/>
    <w:rsid w:val="00EE5612"/>
    <w:rsid w:val="00EE5E67"/>
    <w:rsid w:val="00EE7031"/>
    <w:rsid w:val="00F0092A"/>
    <w:rsid w:val="00F06F0D"/>
    <w:rsid w:val="00F118D3"/>
    <w:rsid w:val="00F13511"/>
    <w:rsid w:val="00F140AE"/>
    <w:rsid w:val="00F14B09"/>
    <w:rsid w:val="00F24DF3"/>
    <w:rsid w:val="00F25E8B"/>
    <w:rsid w:val="00F27782"/>
    <w:rsid w:val="00F277B4"/>
    <w:rsid w:val="00F27FF7"/>
    <w:rsid w:val="00F3527E"/>
    <w:rsid w:val="00F361CB"/>
    <w:rsid w:val="00F4125F"/>
    <w:rsid w:val="00F41C43"/>
    <w:rsid w:val="00F50009"/>
    <w:rsid w:val="00F563C6"/>
    <w:rsid w:val="00F609C0"/>
    <w:rsid w:val="00F63A95"/>
    <w:rsid w:val="00F6576C"/>
    <w:rsid w:val="00F719B2"/>
    <w:rsid w:val="00F73885"/>
    <w:rsid w:val="00F74685"/>
    <w:rsid w:val="00F749D0"/>
    <w:rsid w:val="00F80198"/>
    <w:rsid w:val="00F84514"/>
    <w:rsid w:val="00F9007F"/>
    <w:rsid w:val="00F92FD0"/>
    <w:rsid w:val="00FA15BE"/>
    <w:rsid w:val="00FB06B8"/>
    <w:rsid w:val="00FB2691"/>
    <w:rsid w:val="00FB4C55"/>
    <w:rsid w:val="00FB717C"/>
    <w:rsid w:val="00FC31EF"/>
    <w:rsid w:val="00FC5ABB"/>
    <w:rsid w:val="00FD1377"/>
    <w:rsid w:val="00FD5BA1"/>
    <w:rsid w:val="00FE64A0"/>
    <w:rsid w:val="00FF3C89"/>
    <w:rsid w:val="00FF507C"/>
    <w:rsid w:val="00FF61A7"/>
    <w:rsid w:val="00FF65F8"/>
    <w:rsid w:val="00FF65FD"/>
    <w:rsid w:val="00FF7D32"/>
    <w:rsid w:val="0F9784BC"/>
    <w:rsid w:val="7F7C9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endnote text"/>
    <w:basedOn w:val="1"/>
    <w:link w:val="16"/>
    <w:semiHidden/>
    <w:unhideWhenUsed/>
    <w:qFormat/>
    <w:uiPriority w:val="99"/>
    <w:pPr>
      <w:snapToGrid w:val="0"/>
      <w:jc w:val="left"/>
    </w:pPr>
    <w:rPr>
      <w:szCs w:val="24"/>
    </w:r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basedOn w:val="10"/>
    <w:semiHidden/>
    <w:unhideWhenUsed/>
    <w:qFormat/>
    <w:uiPriority w:val="99"/>
    <w:rPr>
      <w:vertAlign w:val="superscript"/>
    </w:rPr>
  </w:style>
  <w:style w:type="character" w:styleId="12">
    <w:name w:val="annotation reference"/>
    <w:basedOn w:val="10"/>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批注文字 字符"/>
    <w:basedOn w:val="10"/>
    <w:link w:val="2"/>
    <w:semiHidden/>
    <w:qFormat/>
    <w:uiPriority w:val="99"/>
  </w:style>
  <w:style w:type="character" w:customStyle="1" w:styleId="15">
    <w:name w:val="批注主题 字符"/>
    <w:basedOn w:val="14"/>
    <w:link w:val="7"/>
    <w:semiHidden/>
    <w:qFormat/>
    <w:uiPriority w:val="99"/>
    <w:rPr>
      <w:b/>
      <w:bCs/>
    </w:rPr>
  </w:style>
  <w:style w:type="character" w:customStyle="1" w:styleId="16">
    <w:name w:val="尾注文本 字符"/>
    <w:basedOn w:val="10"/>
    <w:link w:val="3"/>
    <w:semiHidden/>
    <w:qFormat/>
    <w:uiPriority w:val="99"/>
    <w:rPr>
      <w:szCs w:val="24"/>
    </w:rPr>
  </w:style>
  <w:style w:type="character" w:customStyle="1" w:styleId="17">
    <w:name w:val="页眉 字符"/>
    <w:basedOn w:val="10"/>
    <w:link w:val="6"/>
    <w:qFormat/>
    <w:uiPriority w:val="99"/>
    <w:rPr>
      <w:sz w:val="18"/>
      <w:szCs w:val="18"/>
    </w:rPr>
  </w:style>
  <w:style w:type="character" w:customStyle="1" w:styleId="18">
    <w:name w:val="页脚 字符"/>
    <w:basedOn w:val="10"/>
    <w:link w:val="5"/>
    <w:qFormat/>
    <w:uiPriority w:val="99"/>
    <w:rPr>
      <w:sz w:val="18"/>
      <w:szCs w:val="18"/>
    </w:rPr>
  </w:style>
  <w:style w:type="character" w:customStyle="1" w:styleId="19">
    <w:name w:val="批注框文本 字符"/>
    <w:basedOn w:val="10"/>
    <w:link w:val="4"/>
    <w:semiHidden/>
    <w:qFormat/>
    <w:uiPriority w:val="99"/>
    <w:rPr>
      <w:sz w:val="18"/>
      <w:szCs w:val="18"/>
    </w:rPr>
  </w:style>
  <w:style w:type="paragraph" w:customStyle="1" w:styleId="2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1623</Words>
  <Characters>9252</Characters>
  <Lines>77</Lines>
  <Paragraphs>21</Paragraphs>
  <TotalTime>4</TotalTime>
  <ScaleCrop>false</ScaleCrop>
  <LinksUpToDate>false</LinksUpToDate>
  <CharactersWithSpaces>10854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2022-03-17T19:50:00Z</dcterms:created>
  <dc:creator>Ouyang Ying</dc:creator>
  <cp:lastModifiedBy>wudejun</cp:lastModifiedBy>
  <dcterms:modified xsi:type="dcterms:W3CDTF">2022-09-14T17:09:44Z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