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40"/>
        </w:rPr>
      </w:pPr>
      <w:r>
        <w:rPr>
          <w:rFonts w:hint="eastAsia" w:ascii="黑体" w:hAnsi="黑体" w:eastAsia="黑体"/>
          <w:b/>
          <w:bCs/>
          <w:sz w:val="36"/>
          <w:szCs w:val="40"/>
        </w:rPr>
        <w:t>2022年深圳市金融骨干人才培养计划</w:t>
      </w:r>
    </w:p>
    <w:p>
      <w:pPr>
        <w:jc w:val="center"/>
      </w:pPr>
      <w:r>
        <w:rPr>
          <w:rFonts w:hint="eastAsia" w:ascii="黑体" w:hAnsi="黑体" w:eastAsia="黑体"/>
          <w:b/>
          <w:bCs/>
          <w:sz w:val="36"/>
          <w:szCs w:val="40"/>
          <w:lang w:val="en-US" w:eastAsia="zh-CN"/>
        </w:rPr>
        <w:t>科创金融</w:t>
      </w:r>
      <w:r>
        <w:rPr>
          <w:rFonts w:hint="eastAsia" w:ascii="黑体" w:hAnsi="黑体" w:eastAsia="黑体"/>
          <w:b/>
          <w:bCs/>
          <w:sz w:val="36"/>
          <w:szCs w:val="40"/>
        </w:rPr>
        <w:t>专题项目介绍</w:t>
      </w:r>
    </w:p>
    <w:p>
      <w:pPr>
        <w:rPr>
          <w:rFonts w:ascii="黑体" w:hAnsi="黑体" w:eastAsia="黑体"/>
          <w:b/>
          <w:bCs/>
          <w:sz w:val="32"/>
          <w:szCs w:val="36"/>
        </w:rPr>
      </w:pPr>
    </w:p>
    <w:p>
      <w:pPr>
        <w:rPr>
          <w:rFonts w:ascii="仿宋_GB2312" w:eastAsia="仿宋_GB2312"/>
          <w:sz w:val="28"/>
          <w:szCs w:val="32"/>
        </w:rPr>
      </w:pPr>
      <w:r>
        <w:rPr>
          <w:rFonts w:hint="eastAsia" w:ascii="黑体" w:hAnsi="黑体" w:eastAsia="黑体"/>
          <w:sz w:val="32"/>
          <w:szCs w:val="36"/>
        </w:rPr>
        <w:t>一、项目亮点</w:t>
      </w:r>
    </w:p>
    <w:p>
      <w:pPr>
        <w:spacing w:line="360" w:lineRule="auto"/>
        <w:ind w:left="1" w:firstLine="562" w:firstLineChars="200"/>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b/>
          <w:bCs/>
          <w:color w:val="000000" w:themeColor="text1"/>
          <w:sz w:val="28"/>
          <w:szCs w:val="28"/>
          <w:lang w:val="en-US" w:eastAsia="zh-CN"/>
          <w14:textFill>
            <w14:solidFill>
              <w14:schemeClr w14:val="tx1"/>
            </w14:solidFill>
          </w14:textFill>
        </w:rPr>
        <w:t>强强联合 名师荟萃</w:t>
      </w:r>
      <w:r>
        <w:rPr>
          <w:rFonts w:hint="eastAsia" w:ascii="仿宋_GB2312" w:hAnsi="楷体" w:eastAsia="仿宋_GB2312"/>
          <w:color w:val="000000" w:themeColor="text1"/>
          <w:sz w:val="28"/>
          <w:szCs w:val="28"/>
          <w:lang w:val="en-US" w:eastAsia="zh-CN"/>
          <w14:textFill>
            <w14:solidFill>
              <w14:schemeClr w14:val="tx1"/>
            </w14:solidFill>
          </w14:textFill>
        </w:rPr>
        <w:t>。资本市场学院是中国证监会唯一的资本市场专业性人才培养机构，师资库拥有1000多位老师，主要来自于证监会系统、一线市场专家、著名高校、研究机构、高端智库，</w:t>
      </w:r>
      <w:r>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t>学院将充分发挥在监管和市场方面的理论与实践优势，搭建金融骨干人才学员与业界沟通交流的学习平台。</w:t>
      </w:r>
    </w:p>
    <w:p>
      <w:pPr>
        <w:spacing w:line="360" w:lineRule="auto"/>
        <w:ind w:left="1" w:firstLine="562" w:firstLineChars="200"/>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pPr>
      <w:r>
        <w:rPr>
          <w:rFonts w:hint="eastAsia" w:ascii="仿宋_GB2312" w:hAnsi="楷体" w:eastAsia="仿宋_GB2312" w:cstheme="minorBidi"/>
          <w:b/>
          <w:bCs/>
          <w:color w:val="000000" w:themeColor="text1"/>
          <w:kern w:val="2"/>
          <w:sz w:val="28"/>
          <w:szCs w:val="28"/>
          <w:lang w:val="en-US" w:eastAsia="zh-CN" w:bidi="ar-SA"/>
          <w14:textFill>
            <w14:solidFill>
              <w14:schemeClr w14:val="tx1"/>
            </w14:solidFill>
          </w14:textFill>
        </w:rPr>
        <w:t>现场教学 产融互动。</w:t>
      </w:r>
      <w:r>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t>安排别具特色的各类现场教学参访，了解企业发展脉络，学习成功经验，探讨科创金融机遇与挑战。</w:t>
      </w:r>
    </w:p>
    <w:p>
      <w:pPr>
        <w:pStyle w:val="2"/>
        <w:numPr>
          <w:ilvl w:val="0"/>
          <w:numId w:val="0"/>
        </w:numPr>
        <w:ind w:leftChars="0" w:firstLine="562" w:firstLineChars="200"/>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pPr>
      <w:r>
        <w:rPr>
          <w:rFonts w:hint="eastAsia" w:ascii="仿宋_GB2312" w:hAnsi="楷体" w:eastAsia="仿宋_GB2312" w:cstheme="minorBidi"/>
          <w:b/>
          <w:bCs/>
          <w:color w:val="000000" w:themeColor="text1"/>
          <w:kern w:val="2"/>
          <w:sz w:val="28"/>
          <w:szCs w:val="28"/>
          <w:lang w:val="en-US" w:eastAsia="zh-CN" w:bidi="ar-SA"/>
          <w14:textFill>
            <w14:solidFill>
              <w14:schemeClr w14:val="tx1"/>
            </w14:solidFill>
          </w14:textFill>
        </w:rPr>
        <w:t>案例剖析 实战为先。</w:t>
      </w:r>
      <w:r>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t>聚焦科技+金融前沿动态，跨界业务融合，洞察市场风险，剖析实操策略，复盘典型案例，提升实战技能。</w:t>
      </w:r>
    </w:p>
    <w:p>
      <w:pPr>
        <w:pStyle w:val="2"/>
        <w:numPr>
          <w:ilvl w:val="0"/>
          <w:numId w:val="0"/>
        </w:numPr>
        <w:ind w:leftChars="0" w:firstLine="562" w:firstLineChars="200"/>
        <w:rPr>
          <w:rFonts w:hint="eastAsia" w:ascii="仿宋_GB2312" w:hAnsi="楷体" w:eastAsia="仿宋_GB2312"/>
          <w:color w:val="FF0000"/>
          <w:sz w:val="28"/>
          <w:szCs w:val="28"/>
          <w:lang w:val="en-US" w:eastAsia="zh-CN"/>
        </w:rPr>
      </w:pPr>
      <w:r>
        <w:rPr>
          <w:rFonts w:hint="eastAsia" w:ascii="仿宋_GB2312" w:hAnsi="楷体" w:eastAsia="仿宋_GB2312" w:cstheme="minorBidi"/>
          <w:b/>
          <w:bCs/>
          <w:color w:val="000000" w:themeColor="text1"/>
          <w:kern w:val="2"/>
          <w:sz w:val="28"/>
          <w:szCs w:val="28"/>
          <w:lang w:val="en-US" w:eastAsia="zh-CN" w:bidi="ar-SA"/>
          <w14:textFill>
            <w14:solidFill>
              <w14:schemeClr w14:val="tx1"/>
            </w14:solidFill>
          </w14:textFill>
        </w:rPr>
        <w:t>校友平台 资源共享。</w:t>
      </w:r>
      <w:r>
        <w:rPr>
          <w:rFonts w:hint="eastAsia" w:ascii="仿宋_GB2312" w:hAnsi="楷体" w:eastAsia="仿宋_GB2312" w:cstheme="minorBidi"/>
          <w:b w:val="0"/>
          <w:bCs w:val="0"/>
          <w:color w:val="000000" w:themeColor="text1"/>
          <w:kern w:val="2"/>
          <w:sz w:val="28"/>
          <w:szCs w:val="28"/>
          <w:lang w:val="en-US" w:eastAsia="zh-CN" w:bidi="ar-SA"/>
          <w14:textFill>
            <w14:solidFill>
              <w14:schemeClr w14:val="tx1"/>
            </w14:solidFill>
          </w14:textFill>
        </w:rPr>
        <w:t>资本市场学院的校友覆盖证监会系统、上市公司、金融机构、地方政府等相关领域，共同学习交流，开拓视野，凝聚共识。</w:t>
      </w:r>
    </w:p>
    <w:p>
      <w:pPr>
        <w:rPr>
          <w:rFonts w:ascii="黑体" w:hAnsi="黑体" w:eastAsia="黑体"/>
          <w:sz w:val="32"/>
          <w:szCs w:val="36"/>
        </w:rPr>
      </w:pPr>
      <w:r>
        <w:rPr>
          <w:rFonts w:hint="eastAsia" w:ascii="黑体" w:hAnsi="黑体" w:eastAsia="黑体"/>
          <w:sz w:val="32"/>
          <w:szCs w:val="36"/>
        </w:rPr>
        <w:t>二、课程设置及师资介绍</w:t>
      </w:r>
    </w:p>
    <w:tbl>
      <w:tblPr>
        <w:tblStyle w:val="7"/>
        <w:tblW w:w="11115" w:type="dxa"/>
        <w:tblInd w:w="-1069" w:type="dxa"/>
        <w:tblLayout w:type="autofit"/>
        <w:tblCellMar>
          <w:top w:w="0" w:type="dxa"/>
          <w:left w:w="108" w:type="dxa"/>
          <w:bottom w:w="0" w:type="dxa"/>
          <w:right w:w="108" w:type="dxa"/>
        </w:tblCellMar>
      </w:tblPr>
      <w:tblGrid>
        <w:gridCol w:w="930"/>
        <w:gridCol w:w="2000"/>
        <w:gridCol w:w="3675"/>
        <w:gridCol w:w="4510"/>
      </w:tblGrid>
      <w:tr>
        <w:tblPrEx>
          <w:tblCellMar>
            <w:top w:w="0" w:type="dxa"/>
            <w:left w:w="108" w:type="dxa"/>
            <w:bottom w:w="0" w:type="dxa"/>
            <w:right w:w="108" w:type="dxa"/>
          </w:tblCellMar>
        </w:tblPrEx>
        <w:trPr>
          <w:trHeight w:val="636"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授课形式</w:t>
            </w:r>
          </w:p>
        </w:tc>
        <w:tc>
          <w:tcPr>
            <w:tcW w:w="3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课程名称</w:t>
            </w:r>
          </w:p>
        </w:tc>
        <w:tc>
          <w:tcPr>
            <w:tcW w:w="4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师资介绍</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eastAsia="zh-CN"/>
              </w:rPr>
            </w:pPr>
            <w:r>
              <w:rPr>
                <w:rFonts w:hint="eastAsia" w:ascii="仿宋_GB2312" w:hAnsi="等线" w:eastAsia="仿宋_GB2312" w:cs="宋体"/>
                <w:color w:val="000000"/>
                <w:kern w:val="0"/>
                <w:sz w:val="24"/>
                <w:lang w:val="en-US" w:eastAsia="zh-CN"/>
              </w:rPr>
              <w:t>1</w:t>
            </w:r>
          </w:p>
        </w:tc>
        <w:tc>
          <w:tcPr>
            <w:tcW w:w="2000" w:type="dxa"/>
            <w:tcBorders>
              <w:top w:val="nil"/>
              <w:left w:val="single" w:color="auto" w:sz="4" w:space="0"/>
              <w:bottom w:val="single" w:color="000000" w:sz="4" w:space="0"/>
              <w:right w:val="single" w:color="auto" w:sz="4" w:space="0"/>
            </w:tcBorders>
            <w:shd w:val="clear" w:color="auto" w:fill="auto"/>
            <w:vAlign w:val="center"/>
          </w:tcPr>
          <w:p>
            <w:pPr>
              <w:widowControl/>
              <w:jc w:val="both"/>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主题讲座</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ascii="微软雅黑" w:hAnsi="微软雅黑" w:eastAsia="微软雅黑" w:cs="微软雅黑"/>
                <w:b w:val="0"/>
                <w:bCs w:val="0"/>
                <w:color w:val="404040"/>
                <w:sz w:val="20"/>
                <w:szCs w:val="20"/>
              </w:rPr>
              <w:t>全球化与湾区创新转型</w:t>
            </w:r>
            <w:r>
              <w:rPr>
                <w:rFonts w:hint="eastAsia" w:ascii="微软雅黑" w:hAnsi="微软雅黑" w:eastAsia="微软雅黑" w:cs="微软雅黑"/>
                <w:b w:val="0"/>
                <w:bCs w:val="0"/>
                <w:color w:val="404040"/>
                <w:sz w:val="20"/>
                <w:szCs w:val="20"/>
                <w:lang w:val="en-US" w:eastAsia="zh-CN"/>
              </w:rPr>
              <w:t>/深圳创新增长与公共政策</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bCs/>
                <w:color w:val="404040"/>
                <w:sz w:val="20"/>
                <w:szCs w:val="20"/>
              </w:rPr>
              <w:t>唐杰</w:t>
            </w:r>
            <w:r>
              <w:rPr>
                <w:rFonts w:hint="eastAsia" w:ascii="微软雅黑" w:hAnsi="微软雅黑" w:eastAsia="微软雅黑" w:cs="微软雅黑"/>
                <w:b w:val="0"/>
                <w:bCs w:val="0"/>
                <w:color w:val="404040"/>
                <w:sz w:val="20"/>
                <w:szCs w:val="20"/>
              </w:rPr>
              <w:t>，学院副理事长，原深圳市副市长</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eastAsia="zh-CN"/>
              </w:rPr>
            </w:pPr>
            <w:r>
              <w:rPr>
                <w:rFonts w:hint="eastAsia" w:ascii="仿宋_GB2312" w:hAnsi="等线" w:eastAsia="仿宋_GB2312" w:cs="宋体"/>
                <w:color w:val="000000"/>
                <w:kern w:val="0"/>
                <w:sz w:val="24"/>
                <w:lang w:val="en-US" w:eastAsia="zh-CN"/>
              </w:rPr>
              <w:t>2</w:t>
            </w:r>
          </w:p>
        </w:tc>
        <w:tc>
          <w:tcPr>
            <w:tcW w:w="200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主题讲座</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深圳金融改革与创新的探索与实践</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bCs/>
                <w:color w:val="404040"/>
                <w:sz w:val="20"/>
                <w:szCs w:val="20"/>
              </w:rPr>
              <w:t>何杰</w:t>
            </w:r>
            <w:r>
              <w:rPr>
                <w:rFonts w:hint="eastAsia" w:ascii="微软雅黑" w:hAnsi="微软雅黑" w:eastAsia="微软雅黑" w:cs="微软雅黑"/>
                <w:b/>
                <w:bCs/>
                <w:color w:val="404040"/>
                <w:sz w:val="20"/>
                <w:szCs w:val="20"/>
                <w:lang w:eastAsia="zh-CN"/>
              </w:rPr>
              <w:t>，</w:t>
            </w:r>
            <w:r>
              <w:rPr>
                <w:rFonts w:hint="eastAsia" w:ascii="微软雅黑" w:hAnsi="微软雅黑" w:eastAsia="微软雅黑" w:cs="微软雅黑"/>
                <w:b w:val="0"/>
                <w:bCs w:val="0"/>
                <w:color w:val="404040"/>
                <w:sz w:val="20"/>
                <w:szCs w:val="20"/>
              </w:rPr>
              <w:t> 深圳市地方金融监管局局长</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eastAsia="zh-CN"/>
              </w:rPr>
            </w:pPr>
            <w:r>
              <w:rPr>
                <w:rFonts w:hint="eastAsia" w:ascii="仿宋_GB2312" w:hAnsi="等线" w:eastAsia="仿宋_GB2312" w:cs="宋体"/>
                <w:color w:val="000000"/>
                <w:kern w:val="0"/>
                <w:sz w:val="24"/>
                <w:lang w:val="en-US" w:eastAsia="zh-CN"/>
              </w:rPr>
              <w:t>3</w:t>
            </w:r>
          </w:p>
        </w:tc>
        <w:tc>
          <w:tcPr>
            <w:tcW w:w="200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主题讲座</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证券交易所专题分享</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hint="default" w:ascii="仿宋_GB2312" w:hAnsi="等线" w:eastAsia="微软雅黑" w:cs="宋体"/>
                <w:b w:val="0"/>
                <w:bCs w:val="0"/>
                <w:color w:val="000000"/>
                <w:kern w:val="0"/>
                <w:sz w:val="24"/>
                <w:highlight w:val="none"/>
                <w:lang w:val="en-US" w:eastAsia="zh-CN"/>
              </w:rPr>
            </w:pPr>
            <w:r>
              <w:rPr>
                <w:rFonts w:hint="eastAsia" w:ascii="微软雅黑" w:hAnsi="微软雅黑" w:eastAsia="微软雅黑" w:cs="微软雅黑"/>
                <w:b w:val="0"/>
                <w:bCs w:val="0"/>
                <w:color w:val="404040"/>
                <w:sz w:val="20"/>
                <w:szCs w:val="20"/>
                <w:highlight w:val="none"/>
                <w:lang w:val="en-US" w:eastAsia="zh-CN"/>
              </w:rPr>
              <w:t>深交所、上交所、北交所专家</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4</w:t>
            </w:r>
          </w:p>
        </w:tc>
        <w:tc>
          <w:tcPr>
            <w:tcW w:w="200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主题讲座</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股权投资基金合规与风控</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hint="default" w:ascii="仿宋_GB2312" w:hAnsi="等线" w:eastAsia="微软雅黑" w:cs="宋体"/>
                <w:b w:val="0"/>
                <w:bCs w:val="0"/>
                <w:color w:val="000000"/>
                <w:kern w:val="0"/>
                <w:sz w:val="24"/>
                <w:highlight w:val="none"/>
                <w:lang w:val="en-US" w:eastAsia="zh-CN"/>
              </w:rPr>
            </w:pPr>
            <w:r>
              <w:rPr>
                <w:rFonts w:hint="eastAsia" w:ascii="微软雅黑" w:hAnsi="微软雅黑" w:eastAsia="微软雅黑" w:cs="微软雅黑"/>
                <w:b w:val="0"/>
                <w:bCs w:val="0"/>
                <w:color w:val="404040"/>
                <w:sz w:val="20"/>
                <w:szCs w:val="20"/>
                <w:highlight w:val="none"/>
              </w:rPr>
              <w:t>市金融局/深圳证监局专家</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5</w:t>
            </w:r>
          </w:p>
        </w:tc>
        <w:tc>
          <w:tcPr>
            <w:tcW w:w="200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圆桌论坛</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深圳打造具有全球影响力的国际风投创投之都路径选择</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hint="eastAsia" w:ascii="仿宋_GB2312" w:hAnsi="等线" w:eastAsia="微软雅黑" w:cs="宋体"/>
                <w:b w:val="0"/>
                <w:bCs w:val="0"/>
                <w:color w:val="000000"/>
                <w:kern w:val="0"/>
                <w:sz w:val="24"/>
                <w:lang w:val="en-US" w:eastAsia="zh-CN"/>
              </w:rPr>
            </w:pPr>
            <w:r>
              <w:rPr>
                <w:rFonts w:hint="eastAsia" w:ascii="微软雅黑" w:hAnsi="微软雅黑" w:eastAsia="微软雅黑" w:cs="微软雅黑"/>
                <w:b w:val="0"/>
                <w:bCs w:val="0"/>
                <w:color w:val="404040"/>
                <w:sz w:val="20"/>
                <w:szCs w:val="20"/>
                <w:lang w:val="en-US" w:eastAsia="zh-CN"/>
              </w:rPr>
              <w:t>东方富海、达晨财智、创东方、天图资本、中美创投</w:t>
            </w:r>
            <w:r>
              <w:rPr>
                <w:rFonts w:hint="eastAsia" w:ascii="微软雅黑" w:hAnsi="微软雅黑" w:eastAsia="微软雅黑" w:cs="微软雅黑"/>
                <w:b w:val="0"/>
                <w:bCs w:val="0"/>
                <w:color w:val="404040"/>
                <w:sz w:val="20"/>
                <w:szCs w:val="20"/>
              </w:rPr>
              <w:t>等</w:t>
            </w:r>
            <w:r>
              <w:rPr>
                <w:rFonts w:hint="eastAsia" w:ascii="微软雅黑" w:hAnsi="微软雅黑" w:eastAsia="微软雅黑" w:cs="微软雅黑"/>
                <w:b w:val="0"/>
                <w:bCs w:val="0"/>
                <w:color w:val="404040"/>
                <w:sz w:val="20"/>
                <w:szCs w:val="20"/>
                <w:lang w:val="en-US" w:eastAsia="zh-CN"/>
              </w:rPr>
              <w:t>专家</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6</w:t>
            </w:r>
          </w:p>
        </w:tc>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企业参访</w:t>
            </w:r>
          </w:p>
        </w:tc>
        <w:tc>
          <w:tcPr>
            <w:tcW w:w="3675"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腾讯公司-科技赋能金融</w:t>
            </w:r>
          </w:p>
        </w:tc>
        <w:tc>
          <w:tcPr>
            <w:tcW w:w="4510" w:type="dxa"/>
            <w:tcBorders>
              <w:top w:val="nil"/>
              <w:left w:val="nil"/>
              <w:bottom w:val="single" w:color="auto" w:sz="4" w:space="0"/>
              <w:right w:val="single" w:color="auto" w:sz="4" w:space="0"/>
            </w:tcBorders>
            <w:shd w:val="clear" w:color="auto" w:fill="auto"/>
            <w:vAlign w:val="top"/>
          </w:tcPr>
          <w:p>
            <w:pPr>
              <w:pStyle w:val="6"/>
              <w:keepNext w:val="0"/>
              <w:keepLines w:val="0"/>
              <w:widowControl/>
              <w:suppressLineNumbers w:val="0"/>
              <w:rPr>
                <w:rFonts w:hint="eastAsia" w:ascii="仿宋_GB2312" w:hAnsi="等线" w:eastAsia="微软雅黑" w:cs="宋体"/>
                <w:b w:val="0"/>
                <w:bCs w:val="0"/>
                <w:color w:val="000000"/>
                <w:kern w:val="0"/>
                <w:sz w:val="24"/>
                <w:lang w:val="en-US" w:eastAsia="zh-CN"/>
              </w:rPr>
            </w:pPr>
            <w:r>
              <w:rPr>
                <w:rFonts w:hint="eastAsia" w:ascii="微软雅黑" w:hAnsi="微软雅黑" w:eastAsia="微软雅黑" w:cs="微软雅黑"/>
                <w:b w:val="0"/>
                <w:bCs w:val="0"/>
                <w:color w:val="404040"/>
                <w:sz w:val="20"/>
                <w:szCs w:val="20"/>
                <w:lang w:val="en-US" w:eastAsia="zh-CN"/>
              </w:rPr>
              <w:t>腾讯云</w:t>
            </w:r>
            <w:r>
              <w:rPr>
                <w:rFonts w:hint="eastAsia" w:ascii="微软雅黑" w:hAnsi="微软雅黑" w:eastAsia="微软雅黑" w:cs="微软雅黑"/>
                <w:b w:val="0"/>
                <w:bCs w:val="0"/>
                <w:color w:val="404040"/>
                <w:sz w:val="20"/>
                <w:szCs w:val="20"/>
              </w:rPr>
              <w:t>等</w:t>
            </w:r>
            <w:r>
              <w:rPr>
                <w:rFonts w:hint="eastAsia" w:ascii="微软雅黑" w:hAnsi="微软雅黑" w:eastAsia="微软雅黑" w:cs="微软雅黑"/>
                <w:b w:val="0"/>
                <w:bCs w:val="0"/>
                <w:color w:val="404040"/>
                <w:sz w:val="20"/>
                <w:szCs w:val="20"/>
                <w:lang w:val="en-US" w:eastAsia="zh-CN"/>
              </w:rPr>
              <w:t>专家</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7</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企业参访</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深港微电子学院-中国芯片产业突围</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bCs/>
                <w:color w:val="404040"/>
                <w:sz w:val="20"/>
                <w:szCs w:val="20"/>
              </w:rPr>
              <w:t>于洪宇</w:t>
            </w:r>
            <w:r>
              <w:rPr>
                <w:rFonts w:hint="eastAsia" w:ascii="微软雅黑" w:hAnsi="微软雅黑" w:eastAsia="微软雅黑" w:cs="微软雅黑"/>
                <w:b w:val="0"/>
                <w:bCs w:val="0"/>
                <w:color w:val="404040"/>
                <w:sz w:val="20"/>
                <w:szCs w:val="20"/>
              </w:rPr>
              <w:t>，南方科技大学深港微电子学院院长</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8</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企业参访</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天安云谷智慧园区及一带一路环境技术交流与转移中心（深圳）</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bCs/>
                <w:color w:val="404040"/>
                <w:sz w:val="20"/>
                <w:szCs w:val="20"/>
              </w:rPr>
              <w:t>杨毅</w:t>
            </w:r>
            <w:r>
              <w:rPr>
                <w:rFonts w:hint="eastAsia" w:ascii="微软雅黑" w:hAnsi="微软雅黑" w:eastAsia="微软雅黑" w:cs="微软雅黑"/>
                <w:b w:val="0"/>
                <w:bCs w:val="0"/>
                <w:color w:val="404040"/>
                <w:sz w:val="20"/>
                <w:szCs w:val="20"/>
              </w:rPr>
              <w:t>，天安骏业集团总裁</w:t>
            </w:r>
            <w:r>
              <w:rPr>
                <w:rFonts w:hint="eastAsia" w:ascii="微软雅黑" w:hAnsi="微软雅黑" w:eastAsia="微软雅黑" w:cs="微软雅黑"/>
                <w:b w:val="0"/>
                <w:bCs w:val="0"/>
                <w:color w:val="404040"/>
                <w:sz w:val="20"/>
                <w:szCs w:val="20"/>
                <w:lang w:eastAsia="zh-CN"/>
              </w:rPr>
              <w:t>；</w:t>
            </w:r>
            <w:r>
              <w:rPr>
                <w:rFonts w:hint="eastAsia" w:ascii="微软雅黑" w:hAnsi="微软雅黑" w:eastAsia="微软雅黑" w:cs="微软雅黑"/>
                <w:b/>
                <w:bCs/>
                <w:color w:val="404040"/>
                <w:sz w:val="20"/>
                <w:szCs w:val="20"/>
              </w:rPr>
              <w:t>禹芝文</w:t>
            </w:r>
            <w:r>
              <w:rPr>
                <w:rFonts w:hint="eastAsia" w:ascii="微软雅黑" w:hAnsi="微软雅黑" w:eastAsia="微软雅黑" w:cs="微软雅黑"/>
                <w:b w:val="0"/>
                <w:bCs w:val="0"/>
                <w:color w:val="404040"/>
                <w:sz w:val="20"/>
                <w:szCs w:val="20"/>
              </w:rPr>
              <w:t>，一带一路中心主任</w:t>
            </w:r>
            <w:r>
              <w:rPr>
                <w:rFonts w:hint="eastAsia" w:ascii="微软雅黑" w:hAnsi="微软雅黑" w:eastAsia="微软雅黑" w:cs="微软雅黑"/>
                <w:b w:val="0"/>
                <w:bCs w:val="0"/>
                <w:color w:val="404040"/>
                <w:sz w:val="20"/>
                <w:szCs w:val="20"/>
                <w:lang w:eastAsia="zh-CN"/>
              </w:rPr>
              <w:t>；</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9</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企业参访</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highlight w:val="none"/>
              </w:rPr>
            </w:pPr>
            <w:r>
              <w:rPr>
                <w:rFonts w:hint="eastAsia" w:ascii="微软雅黑" w:hAnsi="微软雅黑" w:eastAsia="微软雅黑" w:cs="微软雅黑"/>
                <w:b w:val="0"/>
                <w:bCs w:val="0"/>
                <w:color w:val="404040"/>
                <w:sz w:val="20"/>
                <w:szCs w:val="20"/>
                <w:highlight w:val="none"/>
                <w:lang w:val="en-US" w:eastAsia="zh-CN"/>
              </w:rPr>
              <w:t>中</w:t>
            </w:r>
            <w:r>
              <w:rPr>
                <w:rFonts w:hint="eastAsia" w:ascii="微软雅黑" w:hAnsi="微软雅黑" w:eastAsia="微软雅黑" w:cs="微软雅黑"/>
                <w:b w:val="0"/>
                <w:bCs w:val="0"/>
                <w:color w:val="404040"/>
                <w:sz w:val="20"/>
                <w:szCs w:val="20"/>
                <w:highlight w:val="none"/>
              </w:rPr>
              <w:t>科院深圳先进院</w:t>
            </w:r>
            <w:r>
              <w:rPr>
                <w:rFonts w:hint="default" w:ascii="微软雅黑" w:hAnsi="微软雅黑" w:eastAsia="微软雅黑" w:cs="微软雅黑"/>
                <w:b w:val="0"/>
                <w:bCs w:val="0"/>
                <w:color w:val="404040"/>
                <w:sz w:val="20"/>
                <w:szCs w:val="20"/>
                <w:highlight w:val="none"/>
              </w:rPr>
              <w:t>合成生物学研究所</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hint="eastAsia" w:ascii="仿宋_GB2312" w:hAnsi="等线" w:eastAsia="微软雅黑" w:cs="宋体"/>
                <w:b w:val="0"/>
                <w:bCs w:val="0"/>
                <w:color w:val="000000"/>
                <w:kern w:val="0"/>
                <w:sz w:val="24"/>
                <w:highlight w:val="none"/>
                <w:lang w:val="en-US" w:eastAsia="zh-CN"/>
              </w:rPr>
            </w:pPr>
            <w:r>
              <w:rPr>
                <w:rFonts w:hint="default" w:ascii="微软雅黑" w:hAnsi="微软雅黑" w:eastAsia="微软雅黑" w:cs="微软雅黑"/>
                <w:b/>
                <w:bCs/>
                <w:color w:val="404040"/>
                <w:sz w:val="20"/>
                <w:szCs w:val="20"/>
                <w:highlight w:val="none"/>
              </w:rPr>
              <w:t>安一硕</w:t>
            </w:r>
            <w:r>
              <w:rPr>
                <w:rFonts w:hint="eastAsia" w:ascii="微软雅黑" w:hAnsi="微软雅黑" w:eastAsia="微软雅黑" w:cs="微软雅黑"/>
                <w:b/>
                <w:bCs/>
                <w:color w:val="404040"/>
                <w:sz w:val="20"/>
                <w:szCs w:val="20"/>
                <w:highlight w:val="none"/>
                <w:lang w:eastAsia="zh-CN"/>
              </w:rPr>
              <w:t>，</w:t>
            </w:r>
            <w:r>
              <w:rPr>
                <w:rFonts w:hint="default" w:ascii="微软雅黑" w:hAnsi="微软雅黑" w:eastAsia="微软雅黑" w:cs="微软雅黑"/>
                <w:b w:val="0"/>
                <w:bCs w:val="0"/>
                <w:color w:val="404040"/>
                <w:sz w:val="20"/>
                <w:szCs w:val="20"/>
                <w:highlight w:val="none"/>
              </w:rPr>
              <w:t>合成生物学研究所</w:t>
            </w:r>
            <w:r>
              <w:rPr>
                <w:rFonts w:hint="eastAsia" w:ascii="微软雅黑" w:hAnsi="微软雅黑" w:eastAsia="微软雅黑" w:cs="微软雅黑"/>
                <w:b w:val="0"/>
                <w:bCs w:val="0"/>
                <w:color w:val="404040"/>
                <w:sz w:val="20"/>
                <w:szCs w:val="20"/>
                <w:highlight w:val="none"/>
              </w:rPr>
              <w:t>副所长</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10</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企业参访</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highlight w:val="none"/>
              </w:rPr>
            </w:pPr>
            <w:r>
              <w:rPr>
                <w:rFonts w:hint="eastAsia" w:ascii="微软雅黑" w:hAnsi="微软雅黑" w:eastAsia="微软雅黑" w:cs="微软雅黑"/>
                <w:b w:val="0"/>
                <w:bCs w:val="0"/>
                <w:color w:val="404040"/>
                <w:sz w:val="20"/>
                <w:szCs w:val="20"/>
                <w:highlight w:val="none"/>
              </w:rPr>
              <w:t>建行创业者港湾-南山区科技金融服务体系，科创金融产品、知识产权质押融资等。</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highlight w:val="none"/>
              </w:rPr>
            </w:pPr>
            <w:r>
              <w:rPr>
                <w:rFonts w:hint="eastAsia" w:ascii="微软雅黑" w:hAnsi="微软雅黑" w:eastAsia="微软雅黑" w:cs="微软雅黑"/>
                <w:b/>
                <w:bCs/>
                <w:color w:val="404040"/>
                <w:sz w:val="20"/>
                <w:szCs w:val="20"/>
                <w:highlight w:val="none"/>
              </w:rPr>
              <w:t>黄卫家</w:t>
            </w:r>
            <w:r>
              <w:rPr>
                <w:rFonts w:hint="eastAsia" w:ascii="微软雅黑" w:hAnsi="微软雅黑" w:eastAsia="微软雅黑" w:cs="微软雅黑"/>
                <w:b/>
                <w:bCs/>
                <w:color w:val="404040"/>
                <w:sz w:val="20"/>
                <w:szCs w:val="20"/>
                <w:highlight w:val="none"/>
                <w:lang w:eastAsia="zh-CN"/>
              </w:rPr>
              <w:t>，</w:t>
            </w:r>
            <w:r>
              <w:rPr>
                <w:rFonts w:hint="eastAsia" w:ascii="微软雅黑" w:hAnsi="微软雅黑" w:eastAsia="微软雅黑" w:cs="微软雅黑"/>
                <w:b w:val="0"/>
                <w:bCs w:val="0"/>
                <w:color w:val="404040"/>
                <w:sz w:val="20"/>
                <w:szCs w:val="20"/>
                <w:highlight w:val="none"/>
              </w:rPr>
              <w:t>南方知识产权中心董事长</w:t>
            </w:r>
            <w:r>
              <w:rPr>
                <w:rFonts w:hint="eastAsia" w:ascii="微软雅黑" w:hAnsi="微软雅黑" w:eastAsia="微软雅黑" w:cs="微软雅黑"/>
                <w:b w:val="0"/>
                <w:bCs w:val="0"/>
                <w:color w:val="404040"/>
                <w:sz w:val="20"/>
                <w:szCs w:val="20"/>
                <w:highlight w:val="none"/>
                <w:lang w:val="en-US" w:eastAsia="zh-CN"/>
              </w:rPr>
              <w:t>//</w:t>
            </w:r>
            <w:r>
              <w:rPr>
                <w:rFonts w:hint="eastAsia" w:ascii="微软雅黑" w:hAnsi="微软雅黑" w:eastAsia="微软雅黑" w:cs="微软雅黑"/>
                <w:b/>
                <w:bCs/>
                <w:color w:val="404040"/>
                <w:sz w:val="20"/>
                <w:szCs w:val="20"/>
                <w:highlight w:val="none"/>
                <w:lang w:val="en-US" w:eastAsia="zh-CN"/>
              </w:rPr>
              <w:t>张河</w:t>
            </w:r>
            <w:r>
              <w:rPr>
                <w:rFonts w:hint="eastAsia" w:ascii="微软雅黑" w:hAnsi="微软雅黑" w:eastAsia="微软雅黑" w:cs="微软雅黑"/>
                <w:b w:val="0"/>
                <w:bCs w:val="0"/>
                <w:color w:val="404040"/>
                <w:sz w:val="20"/>
                <w:szCs w:val="20"/>
                <w:highlight w:val="none"/>
                <w:lang w:val="en-US" w:eastAsia="zh-CN"/>
              </w:rPr>
              <w:t xml:space="preserve"> </w:t>
            </w:r>
            <w:r>
              <w:rPr>
                <w:rFonts w:hint="eastAsia" w:ascii="微软雅黑" w:hAnsi="微软雅黑" w:eastAsia="微软雅黑" w:cs="微软雅黑"/>
                <w:b w:val="0"/>
                <w:bCs w:val="0"/>
                <w:color w:val="404040"/>
                <w:sz w:val="20"/>
                <w:szCs w:val="20"/>
                <w:highlight w:val="none"/>
              </w:rPr>
              <w:t>建行</w:t>
            </w:r>
            <w:r>
              <w:rPr>
                <w:rFonts w:hint="eastAsia" w:ascii="微软雅黑" w:hAnsi="微软雅黑" w:eastAsia="微软雅黑" w:cs="微软雅黑"/>
                <w:b w:val="0"/>
                <w:bCs w:val="0"/>
                <w:color w:val="404040"/>
                <w:sz w:val="20"/>
                <w:szCs w:val="20"/>
                <w:highlight w:val="none"/>
                <w:lang w:val="en-US" w:eastAsia="zh-CN"/>
              </w:rPr>
              <w:t>深圳分行科创中心负责人/</w:t>
            </w:r>
            <w:r>
              <w:rPr>
                <w:rFonts w:hint="eastAsia" w:ascii="微软雅黑" w:hAnsi="微软雅黑" w:eastAsia="微软雅黑" w:cs="微软雅黑"/>
                <w:b/>
                <w:bCs/>
                <w:color w:val="404040"/>
                <w:sz w:val="20"/>
                <w:szCs w:val="20"/>
                <w:highlight w:val="none"/>
              </w:rPr>
              <w:t>黄恒中</w:t>
            </w:r>
            <w:r>
              <w:rPr>
                <w:rFonts w:hint="eastAsia" w:ascii="微软雅黑" w:hAnsi="微软雅黑" w:eastAsia="微软雅黑" w:cs="微软雅黑"/>
                <w:b w:val="0"/>
                <w:bCs w:val="0"/>
                <w:color w:val="404040"/>
                <w:sz w:val="20"/>
                <w:szCs w:val="20"/>
                <w:highlight w:val="none"/>
                <w:lang w:val="en-US" w:eastAsia="zh-CN"/>
              </w:rPr>
              <w:t xml:space="preserve"> </w:t>
            </w:r>
            <w:r>
              <w:rPr>
                <w:rFonts w:hint="eastAsia" w:ascii="微软雅黑" w:hAnsi="微软雅黑" w:eastAsia="微软雅黑" w:cs="微软雅黑"/>
                <w:b w:val="0"/>
                <w:bCs w:val="0"/>
                <w:color w:val="404040"/>
                <w:sz w:val="20"/>
                <w:szCs w:val="20"/>
                <w:highlight w:val="none"/>
              </w:rPr>
              <w:t>南山区科技创业服务中心主任</w:t>
            </w:r>
            <w:r>
              <w:rPr>
                <w:rFonts w:hint="eastAsia" w:ascii="微软雅黑" w:hAnsi="微软雅黑" w:eastAsia="微软雅黑" w:cs="微软雅黑"/>
                <w:b w:val="0"/>
                <w:bCs w:val="0"/>
                <w:color w:val="404040"/>
                <w:sz w:val="20"/>
                <w:szCs w:val="20"/>
                <w:highlight w:val="none"/>
                <w:lang w:eastAsia="zh-CN"/>
              </w:rPr>
              <w:t>，</w:t>
            </w:r>
            <w:r>
              <w:rPr>
                <w:rFonts w:hint="eastAsia" w:ascii="微软雅黑" w:hAnsi="微软雅黑" w:eastAsia="微软雅黑" w:cs="微软雅黑"/>
                <w:b w:val="0"/>
                <w:bCs w:val="0"/>
                <w:color w:val="404040"/>
                <w:sz w:val="20"/>
                <w:szCs w:val="20"/>
                <w:highlight w:val="none"/>
                <w:lang w:val="en-US" w:eastAsia="zh-CN"/>
              </w:rPr>
              <w:t>以及</w:t>
            </w:r>
            <w:r>
              <w:rPr>
                <w:rFonts w:hint="eastAsia" w:ascii="微软雅黑" w:hAnsi="微软雅黑" w:eastAsia="微软雅黑" w:cs="微软雅黑"/>
                <w:b w:val="0"/>
                <w:bCs w:val="0"/>
                <w:color w:val="404040"/>
                <w:sz w:val="20"/>
                <w:szCs w:val="20"/>
                <w:highlight w:val="none"/>
              </w:rPr>
              <w:t>微众银行、工行科技金融部、浦发银行科技金融服务中心专家</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案例分享</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ICT行业最佳投资案例分享</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rPr>
            </w:pPr>
            <w:r>
              <w:rPr>
                <w:rFonts w:hint="eastAsia" w:ascii="微软雅黑" w:hAnsi="微软雅黑" w:eastAsia="微软雅黑" w:cs="微软雅黑"/>
                <w:b w:val="0"/>
                <w:bCs w:val="0"/>
                <w:color w:val="404040"/>
                <w:sz w:val="20"/>
                <w:szCs w:val="20"/>
              </w:rPr>
              <w:t>东方富海、达晨财智、前海母基金、中科创星</w:t>
            </w:r>
            <w:r>
              <w:rPr>
                <w:rFonts w:hint="eastAsia" w:ascii="微软雅黑" w:hAnsi="微软雅黑" w:eastAsia="微软雅黑" w:cs="微软雅黑"/>
                <w:b w:val="0"/>
                <w:bCs w:val="0"/>
                <w:color w:val="404040"/>
                <w:sz w:val="20"/>
                <w:szCs w:val="20"/>
                <w:lang w:val="en-US" w:eastAsia="zh-CN"/>
              </w:rPr>
              <w:t>等</w:t>
            </w:r>
            <w:r>
              <w:rPr>
                <w:rFonts w:hint="eastAsia" w:ascii="微软雅黑" w:hAnsi="微软雅黑" w:eastAsia="微软雅黑" w:cs="微软雅黑"/>
                <w:b w:val="0"/>
                <w:bCs w:val="0"/>
                <w:color w:val="404040"/>
                <w:sz w:val="20"/>
                <w:szCs w:val="20"/>
              </w:rPr>
              <w:t>专家</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val="0"/>
                <w:bCs w:val="0"/>
                <w:color w:val="404040"/>
                <w:kern w:val="0"/>
                <w:sz w:val="20"/>
                <w:szCs w:val="20"/>
                <w:lang w:val="en-US" w:eastAsia="zh-CN" w:bidi="ar-SA"/>
              </w:rPr>
            </w:pPr>
            <w:r>
              <w:rPr>
                <w:rFonts w:hint="eastAsia" w:ascii="微软雅黑" w:hAnsi="微软雅黑" w:eastAsia="微软雅黑" w:cs="微软雅黑"/>
                <w:b w:val="0"/>
                <w:bCs w:val="0"/>
                <w:color w:val="404040"/>
                <w:kern w:val="0"/>
                <w:sz w:val="20"/>
                <w:szCs w:val="20"/>
                <w:lang w:val="en-US" w:eastAsia="zh-CN" w:bidi="ar-SA"/>
              </w:rPr>
              <w:t>案例分享</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b w:val="0"/>
                <w:bCs w:val="0"/>
                <w:color w:val="000000"/>
                <w:kern w:val="0"/>
                <w:sz w:val="24"/>
                <w:highlight w:val="none"/>
              </w:rPr>
            </w:pPr>
            <w:r>
              <w:rPr>
                <w:rFonts w:hint="eastAsia" w:ascii="微软雅黑" w:hAnsi="微软雅黑" w:eastAsia="微软雅黑" w:cs="微软雅黑"/>
                <w:b w:val="0"/>
                <w:bCs w:val="0"/>
                <w:color w:val="404040"/>
                <w:sz w:val="20"/>
                <w:szCs w:val="20"/>
              </w:rPr>
              <w:t>市高新投</w:t>
            </w:r>
            <w:r>
              <w:rPr>
                <w:rFonts w:hint="eastAsia" w:ascii="微软雅黑" w:hAnsi="微软雅黑" w:eastAsia="微软雅黑" w:cs="微软雅黑"/>
                <w:b w:val="0"/>
                <w:bCs w:val="0"/>
                <w:color w:val="404040"/>
                <w:sz w:val="20"/>
                <w:szCs w:val="20"/>
                <w:highlight w:val="none"/>
              </w:rPr>
              <w:t>运作模式分享</w:t>
            </w: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hint="default" w:ascii="仿宋_GB2312" w:hAnsi="等线" w:eastAsia="微软雅黑" w:cs="宋体"/>
                <w:b w:val="0"/>
                <w:bCs w:val="0"/>
                <w:color w:val="000000"/>
                <w:kern w:val="0"/>
                <w:sz w:val="24"/>
                <w:highlight w:val="none"/>
                <w:lang w:val="en-US" w:eastAsia="zh-CN"/>
              </w:rPr>
            </w:pPr>
            <w:r>
              <w:rPr>
                <w:rFonts w:hint="eastAsia" w:ascii="微软雅黑" w:hAnsi="微软雅黑" w:eastAsia="微软雅黑" w:cs="微软雅黑"/>
                <w:b/>
                <w:bCs/>
                <w:color w:val="404040"/>
                <w:sz w:val="20"/>
                <w:szCs w:val="20"/>
              </w:rPr>
              <w:t>丁秋实</w:t>
            </w:r>
            <w:r>
              <w:rPr>
                <w:rFonts w:hint="eastAsia" w:ascii="微软雅黑" w:hAnsi="微软雅黑" w:eastAsia="微软雅黑" w:cs="微软雅黑"/>
                <w:b/>
                <w:bCs/>
                <w:color w:val="404040"/>
                <w:sz w:val="20"/>
                <w:szCs w:val="20"/>
                <w:lang w:eastAsia="zh-CN"/>
              </w:rPr>
              <w:t>，</w:t>
            </w:r>
            <w:r>
              <w:rPr>
                <w:rFonts w:hint="eastAsia" w:ascii="微软雅黑" w:hAnsi="微软雅黑" w:eastAsia="微软雅黑" w:cs="微软雅黑"/>
                <w:b w:val="0"/>
                <w:bCs w:val="0"/>
                <w:color w:val="404040"/>
                <w:sz w:val="20"/>
                <w:szCs w:val="20"/>
              </w:rPr>
              <w:t>市高新投副总裁</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b/>
                <w:bCs/>
                <w:color w:val="404040"/>
                <w:kern w:val="0"/>
                <w:sz w:val="20"/>
                <w:szCs w:val="20"/>
                <w:lang w:val="en-US" w:eastAsia="zh-CN" w:bidi="ar-SA"/>
              </w:rPr>
            </w:pPr>
          </w:p>
        </w:tc>
        <w:tc>
          <w:tcPr>
            <w:tcW w:w="367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color w:val="000000"/>
                <w:kern w:val="0"/>
                <w:sz w:val="24"/>
              </w:rPr>
            </w:pPr>
          </w:p>
        </w:tc>
        <w:tc>
          <w:tcPr>
            <w:tcW w:w="45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widowControl/>
              <w:suppressLineNumbers w:val="0"/>
              <w:rPr>
                <w:rFonts w:ascii="仿宋_GB2312" w:hAnsi="等线" w:eastAsia="仿宋_GB2312" w:cs="宋体"/>
                <w:color w:val="000000"/>
                <w:kern w:val="0"/>
                <w:sz w:val="24"/>
              </w:rPr>
            </w:pPr>
          </w:p>
        </w:tc>
      </w:tr>
    </w:tbl>
    <w:p>
      <w:pPr>
        <w:spacing w:line="360" w:lineRule="auto"/>
        <w:rPr>
          <w:rFonts w:hint="eastAsia" w:ascii="仿宋_GB2312" w:hAnsi="楷体" w:eastAsia="仿宋_GB2312"/>
          <w:color w:val="FF0000"/>
          <w:sz w:val="28"/>
          <w:szCs w:val="28"/>
        </w:rPr>
      </w:pPr>
    </w:p>
    <w:p>
      <w:pPr>
        <w:rPr>
          <w:rFonts w:hint="eastAsia" w:eastAsia="黑体"/>
          <w:lang w:eastAsia="zh-CN"/>
        </w:rPr>
      </w:pPr>
      <w:r>
        <w:rPr>
          <w:rFonts w:hint="eastAsia" w:ascii="黑体" w:hAnsi="黑体" w:eastAsia="黑体"/>
          <w:sz w:val="32"/>
          <w:szCs w:val="36"/>
        </w:rPr>
        <w:t>三、课程学时及时间安排</w:t>
      </w:r>
      <w:r>
        <w:rPr>
          <w:rFonts w:hint="eastAsia" w:ascii="黑体" w:hAnsi="黑体" w:eastAsia="黑体"/>
          <w:sz w:val="32"/>
          <w:szCs w:val="36"/>
          <w:lang w:eastAsia="zh-CN"/>
        </w:rPr>
        <w:t>（</w:t>
      </w:r>
      <w:r>
        <w:rPr>
          <w:rFonts w:hint="eastAsia" w:ascii="黑体" w:hAnsi="黑体" w:eastAsia="黑体"/>
          <w:sz w:val="32"/>
          <w:szCs w:val="36"/>
          <w:lang w:val="en-US" w:eastAsia="zh-CN"/>
        </w:rPr>
        <w:t>暂定</w:t>
      </w:r>
      <w:r>
        <w:rPr>
          <w:rFonts w:hint="eastAsia" w:ascii="黑体" w:hAnsi="黑体" w:eastAsia="黑体"/>
          <w:sz w:val="32"/>
          <w:szCs w:val="36"/>
          <w:lang w:eastAsia="zh-CN"/>
        </w:rPr>
        <w:t>）</w:t>
      </w:r>
    </w:p>
    <w:tbl>
      <w:tblPr>
        <w:tblStyle w:val="7"/>
        <w:tblW w:w="11169" w:type="dxa"/>
        <w:tblInd w:w="-1104" w:type="dxa"/>
        <w:tblLayout w:type="autofit"/>
        <w:tblCellMar>
          <w:top w:w="0" w:type="dxa"/>
          <w:left w:w="108" w:type="dxa"/>
          <w:bottom w:w="0" w:type="dxa"/>
          <w:right w:w="108" w:type="dxa"/>
        </w:tblCellMar>
      </w:tblPr>
      <w:tblGrid>
        <w:gridCol w:w="900"/>
        <w:gridCol w:w="3885"/>
        <w:gridCol w:w="850"/>
        <w:gridCol w:w="2555"/>
        <w:gridCol w:w="2979"/>
      </w:tblGrid>
      <w:tr>
        <w:tblPrEx>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3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课程名称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课时</w:t>
            </w:r>
          </w:p>
        </w:tc>
        <w:tc>
          <w:tcPr>
            <w:tcW w:w="25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时间安排</w:t>
            </w:r>
          </w:p>
        </w:tc>
        <w:tc>
          <w:tcPr>
            <w:tcW w:w="2979" w:type="dxa"/>
            <w:tcBorders>
              <w:top w:val="single" w:color="auto" w:sz="4" w:space="0"/>
              <w:left w:val="nil"/>
              <w:bottom w:val="single" w:color="auto" w:sz="4" w:space="0"/>
              <w:right w:val="single" w:color="auto" w:sz="4" w:space="0"/>
            </w:tcBorders>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上课地点</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仿宋_GB2312" w:hAnsi="等线" w:cs="宋体" w:eastAsiaTheme="minorEastAsia"/>
                <w:color w:val="000000"/>
                <w:kern w:val="0"/>
                <w:sz w:val="24"/>
                <w:lang w:val="en-US" w:eastAsia="zh-CN"/>
              </w:rPr>
            </w:pPr>
            <w:r>
              <w:rPr>
                <w:sz w:val="24"/>
              </w:rPr>
              <w:t>全球化与湾区创新转型</w:t>
            </w:r>
            <w:r>
              <w:rPr>
                <w:rFonts w:hint="eastAsia"/>
                <w:sz w:val="24"/>
                <w:lang w:val="en-US" w:eastAsia="zh-CN"/>
              </w:rPr>
              <w:t>/深圳创新增长与公共政策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restart"/>
            <w:tcBorders>
              <w:top w:val="nil"/>
              <w:left w:val="nil"/>
              <w:right w:val="single" w:color="auto" w:sz="4" w:space="0"/>
            </w:tcBorders>
            <w:shd w:val="clear" w:color="auto" w:fill="auto"/>
            <w:vAlign w:val="center"/>
          </w:tcPr>
          <w:p>
            <w:pPr>
              <w:widowControl/>
              <w:jc w:val="left"/>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2022年8月第四周或9月第一周，每次上课两天（周五至周日），总共上课三次。--</w:t>
            </w:r>
            <w:r>
              <w:rPr>
                <w:rFonts w:hint="eastAsia" w:ascii="仿宋_GB2312" w:hAnsi="等线" w:eastAsia="仿宋_GB2312" w:cs="宋体"/>
                <w:b/>
                <w:bCs/>
                <w:color w:val="000000"/>
                <w:kern w:val="0"/>
                <w:sz w:val="24"/>
                <w:lang w:val="en-US" w:eastAsia="zh-CN"/>
              </w:rPr>
              <w:t>第一次课程 12课时</w:t>
            </w:r>
          </w:p>
        </w:tc>
        <w:tc>
          <w:tcPr>
            <w:tcW w:w="2979" w:type="dxa"/>
            <w:tcBorders>
              <w:top w:val="nil"/>
              <w:left w:val="nil"/>
              <w:bottom w:val="single" w:color="auto" w:sz="4" w:space="0"/>
              <w:right w:val="single" w:color="auto" w:sz="4" w:space="0"/>
            </w:tcBorders>
          </w:tcPr>
          <w:p>
            <w:pPr>
              <w:widowControl/>
              <w:jc w:val="left"/>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rFonts w:hint="eastAsia"/>
                <w:sz w:val="24"/>
              </w:rPr>
              <w:t>深圳打造具有全球影响力的国际风投创投之都路径选择</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sz w:val="24"/>
              </w:rPr>
              <w:t>权投资基金的合规与风控</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4</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sz w:val="24"/>
                <w:lang w:val="en-US" w:eastAsia="zh-CN"/>
              </w:rPr>
            </w:pPr>
            <w:r>
              <w:rPr>
                <w:rFonts w:hint="eastAsia"/>
                <w:sz w:val="24"/>
                <w:lang w:val="en-US" w:eastAsia="zh-CN"/>
              </w:rPr>
              <w:t>现场教学：腾讯公司-科技赋能金融</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腾讯滨海大厦</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5</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sz w:val="24"/>
              </w:rPr>
              <w:t>深圳金融改革与创新的探索与实践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restart"/>
            <w:tcBorders>
              <w:top w:val="nil"/>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2022年9月第三周或第四周，每次上课两天（周五至周日），总共上课三次。--</w:t>
            </w:r>
            <w:r>
              <w:rPr>
                <w:rFonts w:hint="eastAsia" w:ascii="仿宋_GB2312" w:hAnsi="等线" w:eastAsia="仿宋_GB2312" w:cs="宋体"/>
                <w:b/>
                <w:bCs/>
                <w:color w:val="000000"/>
                <w:kern w:val="0"/>
                <w:sz w:val="24"/>
                <w:lang w:val="en-US" w:eastAsia="zh-CN"/>
              </w:rPr>
              <w:t>第二次课程 12课时</w:t>
            </w:r>
          </w:p>
        </w:tc>
        <w:tc>
          <w:tcPr>
            <w:tcW w:w="2979" w:type="dxa"/>
            <w:tcBorders>
              <w:top w:val="nil"/>
              <w:left w:val="nil"/>
              <w:bottom w:val="single" w:color="auto" w:sz="4" w:space="0"/>
              <w:right w:val="single" w:color="auto" w:sz="4" w:space="0"/>
            </w:tcBorders>
            <w:vAlign w:val="top"/>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6</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rFonts w:hint="eastAsia"/>
                <w:sz w:val="24"/>
                <w:lang w:val="en-US" w:eastAsia="zh-CN"/>
              </w:rPr>
              <w:t>现场教学：中国芯片产业突围-</w:t>
            </w:r>
            <w:r>
              <w:rPr>
                <w:sz w:val="24"/>
              </w:rPr>
              <w:t>深港微电子学院</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vAlign w:val="top"/>
          </w:tcPr>
          <w:p>
            <w:pPr>
              <w:widowControl/>
              <w:jc w:val="left"/>
              <w:rPr>
                <w:rFonts w:ascii="仿宋_GB2312" w:hAnsi="等线" w:eastAsia="仿宋_GB2312" w:cs="宋体"/>
                <w:color w:val="000000"/>
                <w:kern w:val="0"/>
                <w:sz w:val="24"/>
              </w:rPr>
            </w:pPr>
            <w:r>
              <w:rPr>
                <w:rFonts w:ascii="仿宋_GB2312" w:hAnsi="等线" w:eastAsia="仿宋_GB2312" w:cs="宋体"/>
                <w:color w:val="000000"/>
                <w:kern w:val="0"/>
                <w:sz w:val="24"/>
              </w:rPr>
              <w:t>深港微电子学院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7</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sz w:val="24"/>
              </w:rPr>
              <w:t>ICT 行业最佳投资案例分享</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vAlign w:val="top"/>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8</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sz w:val="24"/>
                <w:lang w:eastAsia="zh-CN"/>
              </w:rPr>
            </w:pPr>
            <w:r>
              <w:rPr>
                <w:sz w:val="24"/>
              </w:rPr>
              <w:t>现场教学</w:t>
            </w:r>
            <w:r>
              <w:rPr>
                <w:rFonts w:hint="eastAsia"/>
                <w:sz w:val="24"/>
                <w:lang w:eastAsia="zh-CN"/>
              </w:rPr>
              <w:t>：天安云谷智慧园区和一带一路环境技术交流与转移中心（深圳）</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eastAsia="zh-CN"/>
              </w:rPr>
              <w:t>天安云谷智慧园区</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9</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bookmarkStart w:id="0" w:name="_GoBack"/>
            <w:bookmarkEnd w:id="0"/>
            <w:r>
              <w:rPr>
                <w:sz w:val="24"/>
              </w:rPr>
              <w:t>高新投运作模式分享</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restart"/>
            <w:tcBorders>
              <w:top w:val="nil"/>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2022年10月第三周或第四周，每次上课两天（周五至周日），总共上课三次。--</w:t>
            </w:r>
            <w:r>
              <w:rPr>
                <w:rFonts w:hint="eastAsia" w:ascii="仿宋_GB2312" w:hAnsi="等线" w:eastAsia="仿宋_GB2312" w:cs="宋体"/>
                <w:b/>
                <w:bCs/>
                <w:color w:val="000000"/>
                <w:kern w:val="0"/>
                <w:sz w:val="24"/>
                <w:lang w:val="en-US" w:eastAsia="zh-CN"/>
              </w:rPr>
              <w:t>第三次课程 12课时</w:t>
            </w: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10</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rFonts w:hint="eastAsia"/>
                <w:sz w:val="24"/>
                <w:lang w:val="en-US" w:eastAsia="zh-CN"/>
              </w:rPr>
              <w:t>现场教学：中</w:t>
            </w:r>
            <w:r>
              <w:rPr>
                <w:rFonts w:hint="eastAsia"/>
                <w:sz w:val="24"/>
              </w:rPr>
              <w:t>科院深圳先进院</w:t>
            </w:r>
            <w:r>
              <w:rPr>
                <w:rFonts w:hint="default"/>
                <w:sz w:val="24"/>
              </w:rPr>
              <w:t>合成生物学研究所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bidi w:val="0"/>
              <w:jc w:val="both"/>
              <w:rPr>
                <w:rFonts w:asciiTheme="minorHAnsi" w:hAnsiTheme="minorHAnsi" w:eastAsiaTheme="minorEastAsia" w:cstheme="minorBidi"/>
                <w:kern w:val="2"/>
                <w:sz w:val="21"/>
                <w:szCs w:val="22"/>
                <w:lang w:val="en-US" w:eastAsia="zh-CN" w:bidi="ar-SA"/>
              </w:rPr>
            </w:pPr>
            <w:r>
              <w:rPr>
                <w:rFonts w:hint="eastAsia" w:ascii="仿宋_GB2312" w:hAnsi="等线" w:eastAsia="仿宋_GB2312" w:cs="宋体"/>
                <w:color w:val="000000"/>
                <w:kern w:val="0"/>
                <w:sz w:val="24"/>
                <w:lang w:val="en-US" w:eastAsia="zh-CN"/>
              </w:rPr>
              <w:t>中</w:t>
            </w:r>
            <w:r>
              <w:rPr>
                <w:rFonts w:hint="eastAsia" w:ascii="仿宋_GB2312" w:hAnsi="等线" w:eastAsia="仿宋_GB2312" w:cs="宋体"/>
                <w:color w:val="000000"/>
                <w:kern w:val="0"/>
                <w:sz w:val="24"/>
              </w:rPr>
              <w:t>科院深圳先进院</w:t>
            </w:r>
            <w:r>
              <w:rPr>
                <w:rFonts w:hint="default" w:ascii="仿宋_GB2312" w:hAnsi="等线" w:eastAsia="仿宋_GB2312" w:cs="宋体"/>
                <w:color w:val="000000"/>
                <w:kern w:val="0"/>
                <w:sz w:val="24"/>
              </w:rPr>
              <w:t>合成生物学研究所</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11</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sz w:val="24"/>
              </w:rPr>
            </w:pPr>
            <w:r>
              <w:rPr>
                <w:sz w:val="24"/>
              </w:rPr>
              <w:t xml:space="preserve">交易所主题分享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资本市场学院</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12</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sz w:val="24"/>
                <w:lang w:val="en-US" w:eastAsia="zh-CN"/>
              </w:rPr>
            </w:pPr>
            <w:r>
              <w:rPr>
                <w:rFonts w:hint="eastAsia"/>
                <w:sz w:val="24"/>
                <w:lang w:val="en-US" w:eastAsia="zh-CN"/>
              </w:rPr>
              <w:t>现场教学：建行创业者港湾</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p>
        </w:tc>
        <w:tc>
          <w:tcPr>
            <w:tcW w:w="25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p>
        </w:tc>
        <w:tc>
          <w:tcPr>
            <w:tcW w:w="2979" w:type="dxa"/>
            <w:tcBorders>
              <w:top w:val="nil"/>
              <w:left w:val="nil"/>
              <w:bottom w:val="single" w:color="auto" w:sz="4" w:space="0"/>
              <w:right w:val="single" w:color="auto" w:sz="4" w:space="0"/>
            </w:tcBorders>
          </w:tcPr>
          <w:p>
            <w:pPr>
              <w:widowControl/>
              <w:jc w:val="left"/>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建设银行深圳分行</w:t>
            </w: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eastAsia="zh-CN"/>
              </w:rPr>
            </w:pP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仿宋_GB2312" w:hAnsi="等线" w:eastAsia="仿宋_GB2312" w:cs="宋体"/>
                <w:color w:val="000000"/>
                <w:kern w:val="0"/>
                <w:sz w:val="24"/>
                <w:lang w:val="en-US"/>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lang w:val="en-US"/>
              </w:rPr>
            </w:pPr>
          </w:p>
        </w:tc>
        <w:tc>
          <w:tcPr>
            <w:tcW w:w="2555"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等线" w:eastAsia="仿宋_GB2312" w:cs="宋体"/>
                <w:color w:val="000000"/>
                <w:kern w:val="0"/>
                <w:sz w:val="24"/>
                <w:lang w:val="en-US"/>
              </w:rPr>
            </w:pPr>
          </w:p>
        </w:tc>
        <w:tc>
          <w:tcPr>
            <w:tcW w:w="2979" w:type="dxa"/>
            <w:tcBorders>
              <w:top w:val="nil"/>
              <w:left w:val="nil"/>
              <w:bottom w:val="single" w:color="auto" w:sz="4" w:space="0"/>
              <w:right w:val="single" w:color="auto" w:sz="4" w:space="0"/>
            </w:tcBorders>
          </w:tcPr>
          <w:p>
            <w:pPr>
              <w:widowControl/>
              <w:jc w:val="left"/>
              <w:rPr>
                <w:rFonts w:hint="default" w:ascii="仿宋_GB2312" w:hAnsi="等线" w:eastAsia="仿宋_GB2312" w:cs="宋体"/>
                <w:color w:val="000000"/>
                <w:kern w:val="0"/>
                <w:sz w:val="24"/>
                <w:lang w:val="en-US"/>
              </w:rPr>
            </w:pPr>
          </w:p>
        </w:tc>
      </w:tr>
      <w:tr>
        <w:tblPrEx>
          <w:tblCellMar>
            <w:top w:w="0" w:type="dxa"/>
            <w:left w:w="108" w:type="dxa"/>
            <w:bottom w:w="0" w:type="dxa"/>
            <w:right w:w="108" w:type="dxa"/>
          </w:tblCellMar>
        </w:tblPrEx>
        <w:trPr>
          <w:trHeight w:val="498"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合计</w:t>
            </w:r>
          </w:p>
        </w:tc>
        <w:tc>
          <w:tcPr>
            <w:tcW w:w="3885"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3</w:t>
            </w:r>
            <w:r>
              <w:rPr>
                <w:rFonts w:ascii="仿宋_GB2312" w:hAnsi="等线" w:eastAsia="仿宋_GB2312" w:cs="宋体"/>
                <w:b/>
                <w:bCs/>
                <w:color w:val="000000"/>
                <w:kern w:val="0"/>
                <w:sz w:val="24"/>
              </w:rPr>
              <w:t>6</w:t>
            </w:r>
          </w:p>
        </w:tc>
        <w:tc>
          <w:tcPr>
            <w:tcW w:w="2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4"/>
              </w:rPr>
            </w:pPr>
          </w:p>
        </w:tc>
        <w:tc>
          <w:tcPr>
            <w:tcW w:w="2979" w:type="dxa"/>
            <w:tcBorders>
              <w:top w:val="nil"/>
              <w:left w:val="nil"/>
              <w:bottom w:val="single" w:color="auto" w:sz="4" w:space="0"/>
              <w:right w:val="single" w:color="auto" w:sz="4" w:space="0"/>
            </w:tcBorders>
          </w:tcPr>
          <w:p>
            <w:pPr>
              <w:widowControl/>
              <w:jc w:val="left"/>
              <w:rPr>
                <w:rFonts w:ascii="仿宋_GB2312" w:hAnsi="等线" w:eastAsia="仿宋_GB2312" w:cs="宋体"/>
                <w:color w:val="000000"/>
                <w:kern w:val="0"/>
                <w:sz w:val="24"/>
              </w:rPr>
            </w:pPr>
          </w:p>
        </w:tc>
      </w:tr>
    </w:tbl>
    <w:p>
      <w:pPr>
        <w:rPr>
          <w:rFonts w:hint="default"/>
          <w:lang w:val="en-US" w:eastAsia="zh-CN"/>
        </w:rPr>
      </w:pPr>
      <w:r>
        <w:rPr>
          <w:rFonts w:hint="eastAsia"/>
          <w:lang w:val="en-US" w:eastAsia="zh-CN"/>
        </w:rPr>
        <w:t>备注：上述时间安排为计划安排，课程内容、师资安排可能会根据市地方金融管理局和学员要求进行调整优化，以资本市场学院最终的课程安排为准。</w:t>
      </w:r>
    </w:p>
    <w:p>
      <w:pPr>
        <w:rPr>
          <w:rFonts w:ascii="黑体" w:hAnsi="黑体" w:eastAsia="黑体"/>
          <w:sz w:val="32"/>
          <w:szCs w:val="36"/>
        </w:rPr>
      </w:pPr>
      <w:r>
        <w:rPr>
          <w:rFonts w:hint="eastAsia" w:ascii="黑体" w:hAnsi="黑体" w:eastAsia="黑体"/>
          <w:sz w:val="32"/>
          <w:szCs w:val="36"/>
        </w:rPr>
        <w:t>四、考核要求</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w:t>
      </w:r>
      <w:r>
        <w:rPr>
          <w:rFonts w:hint="eastAsia" w:ascii="楷体" w:hAnsi="楷体" w:eastAsia="楷体" w:cs="Times New Roman"/>
          <w:color w:val="333333"/>
          <w:sz w:val="32"/>
          <w:szCs w:val="32"/>
          <w:shd w:val="clear" w:color="auto" w:fill="FFFFFF"/>
        </w:rPr>
        <w:t>考勤</w:t>
      </w:r>
      <w:r>
        <w:rPr>
          <w:rFonts w:hint="eastAsia" w:ascii="楷体" w:hAnsi="楷体" w:eastAsia="楷体" w:cs="Times New Roman"/>
          <w:sz w:val="32"/>
          <w:szCs w:val="32"/>
          <w:shd w:val="clear" w:color="auto" w:fill="FFFFFF"/>
        </w:rPr>
        <w:t>达标</w:t>
      </w:r>
    </w:p>
    <w:p>
      <w:pPr>
        <w:spacing w:line="360" w:lineRule="auto"/>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总课时为</w:t>
      </w:r>
      <w:r>
        <w:rPr>
          <w:rFonts w:ascii="仿宋_GB2312" w:hAnsi="仿宋_GB2312" w:eastAsia="仿宋_GB2312" w:cs="仿宋_GB2312"/>
          <w:color w:val="333333"/>
          <w:kern w:val="0"/>
          <w:sz w:val="32"/>
          <w:szCs w:val="32"/>
          <w:shd w:val="clear" w:color="auto" w:fill="FFFFFF"/>
        </w:rPr>
        <w:t>36</w:t>
      </w:r>
      <w:r>
        <w:rPr>
          <w:rFonts w:hint="eastAsia" w:ascii="仿宋_GB2312" w:hAnsi="仿宋_GB2312" w:eastAsia="仿宋_GB2312" w:cs="仿宋_GB2312"/>
          <w:color w:val="333333"/>
          <w:kern w:val="0"/>
          <w:sz w:val="32"/>
          <w:szCs w:val="32"/>
          <w:shd w:val="clear" w:color="auto" w:fill="FFFFFF"/>
        </w:rPr>
        <w:t>课时，学员缺勤次数不得超过6课时，即总学时的1/</w:t>
      </w:r>
      <w:r>
        <w:rPr>
          <w:rFonts w:ascii="仿宋_GB2312" w:hAnsi="仿宋_GB2312" w:eastAsia="仿宋_GB2312" w:cs="仿宋_GB2312"/>
          <w:color w:val="333333"/>
          <w:kern w:val="0"/>
          <w:sz w:val="32"/>
          <w:szCs w:val="32"/>
          <w:shd w:val="clear" w:color="auto" w:fill="FFFFFF"/>
        </w:rPr>
        <w:t>6</w:t>
      </w:r>
      <w:r>
        <w:rPr>
          <w:rFonts w:hint="eastAsia" w:ascii="仿宋_GB2312" w:hAnsi="仿宋_GB2312" w:eastAsia="仿宋_GB2312" w:cs="仿宋_GB2312"/>
          <w:color w:val="333333"/>
          <w:kern w:val="0"/>
          <w:sz w:val="32"/>
          <w:szCs w:val="32"/>
          <w:shd w:val="clear" w:color="auto" w:fill="FFFFFF"/>
        </w:rPr>
        <w:t>。</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（二）提交学习报告</w:t>
      </w:r>
    </w:p>
    <w:p>
      <w:pPr>
        <w:spacing w:line="360" w:lineRule="auto"/>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结业前，学员以组成课题小组的形式提交1篇课题报告。</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（三）考核结果运用</w:t>
      </w:r>
    </w:p>
    <w:p>
      <w:pPr>
        <w:spacing w:line="360" w:lineRule="auto"/>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享受财政补贴的学员考勤达标且提交学习报告的，才可享受培养经费资助。</w:t>
      </w:r>
    </w:p>
    <w:p>
      <w:pPr>
        <w:rPr>
          <w:rFonts w:ascii="黑体" w:hAnsi="黑体" w:eastAsia="黑体"/>
          <w:b/>
          <w:bCs/>
          <w:sz w:val="32"/>
          <w:szCs w:val="36"/>
        </w:rPr>
      </w:pPr>
      <w:r>
        <w:rPr>
          <w:rFonts w:hint="eastAsia" w:ascii="黑体" w:hAnsi="黑体" w:eastAsia="黑体"/>
          <w:b/>
          <w:bCs/>
          <w:sz w:val="32"/>
          <w:szCs w:val="36"/>
        </w:rPr>
        <w:t>五、学费缴纳</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（一）费用标准</w:t>
      </w:r>
    </w:p>
    <w:p>
      <w:pPr>
        <w:spacing w:line="360" w:lineRule="auto"/>
        <w:ind w:left="1" w:firstLine="640" w:firstLineChars="200"/>
        <w:rPr>
          <w:rFonts w:ascii="仿宋_GB2312" w:hAnsi="楷体" w:eastAsia="仿宋_GB2312"/>
          <w:sz w:val="32"/>
          <w:szCs w:val="32"/>
        </w:rPr>
      </w:pPr>
      <w:r>
        <w:rPr>
          <w:rFonts w:ascii="仿宋_GB2312" w:hAnsi="楷体" w:eastAsia="仿宋_GB2312"/>
          <w:sz w:val="32"/>
          <w:szCs w:val="32"/>
        </w:rPr>
        <w:t>2022年深圳市金融骨干人才培养计划系列专题研修班</w:t>
      </w:r>
      <w:r>
        <w:rPr>
          <w:rFonts w:hint="eastAsia" w:ascii="仿宋_GB2312" w:hAnsi="楷体" w:eastAsia="仿宋_GB2312"/>
          <w:sz w:val="32"/>
          <w:szCs w:val="32"/>
        </w:rPr>
        <w:t>学费为</w:t>
      </w:r>
      <w:r>
        <w:rPr>
          <w:rFonts w:hint="eastAsia" w:ascii="仿宋_GB2312" w:hAnsi="楷体" w:eastAsia="仿宋_GB2312"/>
          <w:color w:val="000000" w:themeColor="text1"/>
          <w:sz w:val="32"/>
          <w:szCs w:val="32"/>
          <w14:textFill>
            <w14:solidFill>
              <w14:schemeClr w14:val="tx1"/>
            </w14:solidFill>
          </w14:textFill>
        </w:rPr>
        <w:t>1</w:t>
      </w:r>
      <w:r>
        <w:rPr>
          <w:rFonts w:ascii="仿宋_GB2312" w:hAnsi="楷体" w:eastAsia="仿宋_GB2312"/>
          <w:color w:val="000000" w:themeColor="text1"/>
          <w:sz w:val="32"/>
          <w:szCs w:val="32"/>
          <w14:textFill>
            <w14:solidFill>
              <w14:schemeClr w14:val="tx1"/>
            </w14:solidFill>
          </w14:textFill>
        </w:rPr>
        <w:t>5000</w:t>
      </w:r>
      <w:r>
        <w:rPr>
          <w:rFonts w:hint="eastAsia" w:ascii="仿宋_GB2312" w:hAnsi="楷体" w:eastAsia="仿宋_GB2312"/>
          <w:sz w:val="32"/>
          <w:szCs w:val="32"/>
        </w:rPr>
        <w:t>元/人，学费含师资费、场地费、餐费（上课期间工作餐）、学习资料费、团建活动费、项目管理费等。其中</w:t>
      </w:r>
      <w:r>
        <w:rPr>
          <w:rFonts w:hint="eastAsia" w:ascii="仿宋_GB2312" w:hAnsi="仿宋_GB2312" w:eastAsia="仿宋_GB2312" w:cs="仿宋_GB2312"/>
          <w:color w:val="333333"/>
          <w:kern w:val="0"/>
          <w:sz w:val="32"/>
          <w:szCs w:val="32"/>
          <w:shd w:val="clear" w:color="auto" w:fill="FFFFFF"/>
        </w:rPr>
        <w:t>财政补贴学员先行缴纳全额学费，项目结业到达考核标准，发放财政补贴1万元/人。</w:t>
      </w:r>
      <w:r>
        <w:rPr>
          <w:rFonts w:hint="eastAsia" w:ascii="仿宋_GB2312" w:hAnsi="楷体" w:eastAsia="仿宋_GB2312"/>
          <w:sz w:val="32"/>
          <w:szCs w:val="32"/>
        </w:rPr>
        <w:t>非财政补贴学员需自费缴纳全额学费1</w:t>
      </w:r>
      <w:r>
        <w:rPr>
          <w:rFonts w:ascii="仿宋_GB2312" w:hAnsi="楷体" w:eastAsia="仿宋_GB2312"/>
          <w:sz w:val="32"/>
          <w:szCs w:val="32"/>
        </w:rPr>
        <w:t>5000</w:t>
      </w:r>
      <w:r>
        <w:rPr>
          <w:rFonts w:hint="eastAsia" w:ascii="仿宋_GB2312" w:hAnsi="楷体" w:eastAsia="仿宋_GB2312"/>
          <w:sz w:val="32"/>
          <w:szCs w:val="32"/>
        </w:rPr>
        <w:t>元。</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（二）收款账号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 xml:space="preserve">收款单位: </w:t>
      </w:r>
      <w:r>
        <w:rPr>
          <w:rFonts w:hint="eastAsia" w:ascii="仿宋_GB2312" w:hAnsi="楷体" w:eastAsia="仿宋_GB2312"/>
          <w:sz w:val="32"/>
          <w:szCs w:val="32"/>
          <w:lang w:val="en-US" w:eastAsia="zh-CN"/>
        </w:rPr>
        <w:t xml:space="preserve"> </w:t>
      </w:r>
      <w:r>
        <w:rPr>
          <w:rFonts w:hint="eastAsia" w:ascii="仿宋" w:hAnsi="仿宋" w:eastAsia="仿宋" w:cs="仿宋"/>
          <w:sz w:val="32"/>
          <w:szCs w:val="32"/>
          <w:lang w:eastAsia="zh-CN"/>
        </w:rPr>
        <w:t>资本市场学院</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开户银行：</w:t>
      </w:r>
      <w:r>
        <w:rPr>
          <w:rFonts w:ascii="仿宋_GB2312" w:hAnsi="楷体" w:eastAsia="仿宋_GB2312"/>
          <w:sz w:val="32"/>
          <w:szCs w:val="32"/>
        </w:rPr>
        <w:t xml:space="preserve"> </w:t>
      </w:r>
      <w:r>
        <w:rPr>
          <w:rFonts w:hint="eastAsia" w:ascii="仿宋" w:hAnsi="仿宋" w:eastAsia="仿宋" w:cs="仿宋"/>
          <w:sz w:val="32"/>
          <w:szCs w:val="32"/>
          <w:lang w:eastAsia="zh-CN"/>
        </w:rPr>
        <w:t>招商银行深圳梅景支行</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hint="eastAsia" w:ascii="仿宋_GB2312" w:hAnsi="楷体" w:eastAsia="仿宋_GB2312"/>
          <w:sz w:val="32"/>
          <w:szCs w:val="32"/>
          <w:lang w:val="en-US" w:eastAsia="zh-CN"/>
        </w:rPr>
        <w:t xml:space="preserve"> </w:t>
      </w:r>
      <w:r>
        <w:rPr>
          <w:rFonts w:hint="eastAsia" w:ascii="仿宋" w:hAnsi="仿宋" w:eastAsia="仿宋" w:cs="仿宋"/>
          <w:sz w:val="32"/>
          <w:szCs w:val="32"/>
          <w:lang w:eastAsia="zh-CN"/>
        </w:rPr>
        <w:t>755919161610808</w:t>
      </w:r>
    </w:p>
    <w:p>
      <w:pPr>
        <w:spacing w:line="360" w:lineRule="auto"/>
        <w:ind w:left="1" w:firstLine="560" w:firstLineChars="200"/>
        <w:rPr>
          <w:rFonts w:ascii="仿宋_GB2312" w:hAnsi="楷体" w:eastAsia="仿宋_GB2312"/>
          <w:sz w:val="32"/>
          <w:szCs w:val="32"/>
        </w:rPr>
      </w:pPr>
      <w:r>
        <w:rPr>
          <w:rFonts w:hint="eastAsia" w:ascii="仿宋_GB2312" w:hAnsi="仿宋_GB2312" w:eastAsia="仿宋_GB2312" w:cs="仿宋_GB2312"/>
          <w:color w:val="333333"/>
          <w:kern w:val="0"/>
          <w:sz w:val="28"/>
          <w:szCs w:val="28"/>
          <w:shd w:val="clear" w:color="auto" w:fill="FFFFFF"/>
        </w:rPr>
        <w:t>*转帐时请注明：202</w:t>
      </w:r>
      <w:r>
        <w:rPr>
          <w:rFonts w:ascii="仿宋_GB2312" w:hAnsi="仿宋_GB2312" w:eastAsia="仿宋_GB2312" w:cs="仿宋_GB2312"/>
          <w:color w:val="333333"/>
          <w:kern w:val="0"/>
          <w:sz w:val="28"/>
          <w:szCs w:val="28"/>
          <w:shd w:val="clear" w:color="auto" w:fill="FFFFFF"/>
        </w:rPr>
        <w:t>2</w:t>
      </w:r>
      <w:r>
        <w:rPr>
          <w:rFonts w:hint="eastAsia" w:ascii="仿宋_GB2312" w:hAnsi="仿宋_GB2312" w:eastAsia="仿宋_GB2312" w:cs="仿宋_GB2312"/>
          <w:color w:val="333333"/>
          <w:kern w:val="0"/>
          <w:sz w:val="28"/>
          <w:szCs w:val="28"/>
          <w:shd w:val="clear" w:color="auto" w:fill="FFFFFF"/>
        </w:rPr>
        <w:t>年深圳市金融骨干人才研修班+单位+学员姓名</w:t>
      </w:r>
    </w:p>
    <w:p>
      <w:pPr>
        <w:spacing w:line="560" w:lineRule="exact"/>
        <w:ind w:firstLine="640" w:firstLineChars="200"/>
        <w:jc w:val="left"/>
        <w:outlineLvl w:val="1"/>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（三）发票开具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需要提供：发票类型（电子普通发票&amp;增值税专用发票）、单位名称、纳税人识别号、地址、联系电话、开户银行、银行账号。</w:t>
      </w:r>
    </w:p>
    <w:p>
      <w:pPr>
        <w:spacing w:line="360" w:lineRule="auto"/>
        <w:jc w:val="left"/>
        <w:rPr>
          <w:rFonts w:ascii="黑体" w:hAnsi="黑体" w:eastAsia="黑体"/>
          <w:b/>
          <w:bCs/>
          <w:sz w:val="32"/>
          <w:szCs w:val="36"/>
        </w:rPr>
      </w:pPr>
      <w:r>
        <w:rPr>
          <w:rFonts w:hint="eastAsia" w:ascii="黑体" w:hAnsi="黑体" w:eastAsia="黑体"/>
          <w:b/>
          <w:bCs/>
          <w:sz w:val="32"/>
          <w:szCs w:val="36"/>
        </w:rPr>
        <w:t xml:space="preserve">六 </w:t>
      </w:r>
      <w:r>
        <w:rPr>
          <w:rFonts w:ascii="黑体" w:hAnsi="黑体" w:eastAsia="黑体"/>
          <w:b/>
          <w:bCs/>
          <w:sz w:val="32"/>
          <w:szCs w:val="36"/>
        </w:rPr>
        <w:t xml:space="preserve"> </w:t>
      </w:r>
      <w:r>
        <w:rPr>
          <w:rFonts w:hint="eastAsia" w:ascii="黑体" w:hAnsi="黑体" w:eastAsia="黑体"/>
          <w:b/>
          <w:bCs/>
          <w:sz w:val="32"/>
          <w:szCs w:val="36"/>
        </w:rPr>
        <w:t>报名咨询和联系人</w:t>
      </w:r>
    </w:p>
    <w:p>
      <w:pPr>
        <w:spacing w:line="360" w:lineRule="auto"/>
        <w:ind w:left="1"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联系人：</w:t>
      </w:r>
      <w:r>
        <w:rPr>
          <w:rFonts w:hint="eastAsia" w:ascii="仿宋_GB2312" w:hAnsi="楷体" w:eastAsia="仿宋_GB2312"/>
          <w:sz w:val="32"/>
          <w:szCs w:val="32"/>
          <w:lang w:val="en-US" w:eastAsia="zh-CN"/>
        </w:rPr>
        <w:t>胡天池，吴茜</w:t>
      </w:r>
    </w:p>
    <w:p>
      <w:pPr>
        <w:spacing w:line="360" w:lineRule="auto"/>
        <w:ind w:left="1"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电话：</w:t>
      </w:r>
      <w:r>
        <w:rPr>
          <w:rFonts w:hint="eastAsia" w:ascii="仿宋_GB2312" w:hAnsi="楷体" w:eastAsia="仿宋_GB2312"/>
          <w:sz w:val="32"/>
          <w:szCs w:val="32"/>
          <w:lang w:val="en-US" w:eastAsia="zh-CN"/>
        </w:rPr>
        <w:t>0755-26655805，0755-26655006</w:t>
      </w:r>
    </w:p>
    <w:p/>
    <w:p>
      <w:pPr>
        <w:spacing w:line="360" w:lineRule="auto"/>
        <w:jc w:val="left"/>
        <w:rPr>
          <w:rFonts w:ascii="黑体" w:hAnsi="黑体" w:eastAsia="黑体"/>
          <w:b/>
          <w:bCs/>
          <w:sz w:val="32"/>
          <w:szCs w:val="36"/>
        </w:rPr>
      </w:pPr>
      <w:r>
        <w:rPr>
          <w:rFonts w:hint="eastAsia" w:ascii="黑体" w:hAnsi="黑体" w:eastAsia="黑体"/>
          <w:b/>
          <w:bCs/>
          <w:sz w:val="32"/>
          <w:szCs w:val="36"/>
        </w:rPr>
        <w:t xml:space="preserve">七 </w:t>
      </w:r>
      <w:r>
        <w:rPr>
          <w:rFonts w:ascii="黑体" w:hAnsi="黑体" w:eastAsia="黑体"/>
          <w:b/>
          <w:bCs/>
          <w:sz w:val="32"/>
          <w:szCs w:val="36"/>
        </w:rPr>
        <w:t xml:space="preserve"> </w:t>
      </w:r>
      <w:r>
        <w:rPr>
          <w:rFonts w:hint="eastAsia" w:ascii="黑体" w:hAnsi="黑体" w:eastAsia="黑体"/>
          <w:b/>
          <w:bCs/>
          <w:sz w:val="32"/>
          <w:szCs w:val="36"/>
        </w:rPr>
        <w:t>办学机构简介</w:t>
      </w:r>
    </w:p>
    <w:p>
      <w:pPr>
        <w:spacing w:line="360" w:lineRule="auto"/>
        <w:ind w:left="1" w:firstLine="640" w:firstLineChars="200"/>
        <w:rPr>
          <w:rFonts w:hint="eastAsia" w:ascii="仿宋_GB2312" w:hAnsi="楷体" w:eastAsia="仿宋_GB2312"/>
          <w:sz w:val="32"/>
          <w:szCs w:val="32"/>
        </w:rPr>
      </w:pPr>
      <w:r>
        <w:rPr>
          <w:rFonts w:hint="eastAsia" w:ascii="仿宋_GB2312" w:hAnsi="楷体" w:eastAsia="仿宋_GB2312"/>
          <w:sz w:val="32"/>
          <w:szCs w:val="32"/>
        </w:rPr>
        <w:t>资本市场学院是由中国证监会和深圳市政府联合举办的资本市场专业性教育培训机构。学院于2012年12月3日正式设立，出资方为深圳证券交易所、上海证券交易所、中国证券登记结算公司、上海期货交易所、中国金融期货交易所、郑州商品交易所和大连商品交易所。</w:t>
      </w:r>
    </w:p>
    <w:p>
      <w:pPr>
        <w:spacing w:line="360" w:lineRule="auto"/>
        <w:ind w:left="1" w:firstLine="640" w:firstLineChars="200"/>
        <w:rPr>
          <w:rFonts w:hint="eastAsia" w:ascii="仿宋_GB2312" w:hAnsi="楷体" w:eastAsia="仿宋_GB2312" w:cstheme="minorBidi"/>
          <w:b w:val="0"/>
          <w:bCs w:val="0"/>
          <w:color w:val="auto"/>
          <w:kern w:val="2"/>
          <w:sz w:val="32"/>
          <w:szCs w:val="32"/>
          <w:lang w:val="en-US" w:eastAsia="zh-CN" w:bidi="ar-SA"/>
        </w:rPr>
      </w:pPr>
      <w:r>
        <w:rPr>
          <w:rFonts w:hint="eastAsia" w:ascii="仿宋_GB2312" w:hAnsi="楷体" w:eastAsia="仿宋_GB2312" w:cstheme="minorBidi"/>
          <w:b w:val="0"/>
          <w:bCs w:val="0"/>
          <w:color w:val="auto"/>
          <w:kern w:val="2"/>
          <w:sz w:val="32"/>
          <w:szCs w:val="32"/>
          <w:lang w:val="en-US" w:eastAsia="zh-CN" w:bidi="ar-SA"/>
        </w:rPr>
        <w:t>学院定位于中国资本市场基础性建设工程，旨在打造资本市场培训教育主平台，为推动资本市场改革开放和稳定发展持续提供强有力的人才智力支持。学院紧紧围绕证监会党委中心工作，秉承“养正气，育英才，固国本”的院训，积极探索市场化、专业化、国际化发展模式，努力建成立足深圳、服务全国、辐射境外的资本市场人才培养基地和应用型研究中心。</w:t>
      </w:r>
    </w:p>
    <w:p>
      <w:pPr>
        <w:ind w:firstLine="640" w:firstLineChars="200"/>
        <w:rPr>
          <w:rFonts w:hint="default" w:ascii="仿宋_GB2312" w:hAnsi="楷体" w:eastAsia="仿宋_GB2312" w:cstheme="minorBidi"/>
          <w:b w:val="0"/>
          <w:bCs w:val="0"/>
          <w:color w:val="auto"/>
          <w:kern w:val="2"/>
          <w:sz w:val="32"/>
          <w:szCs w:val="32"/>
          <w:lang w:val="en-US" w:eastAsia="zh-CN" w:bidi="ar-SA"/>
        </w:rPr>
      </w:pPr>
      <w:r>
        <w:rPr>
          <w:rFonts w:hint="default" w:ascii="仿宋_GB2312" w:hAnsi="楷体" w:eastAsia="仿宋_GB2312" w:cstheme="minorBidi"/>
          <w:b w:val="0"/>
          <w:bCs w:val="0"/>
          <w:color w:val="auto"/>
          <w:kern w:val="2"/>
          <w:sz w:val="32"/>
          <w:szCs w:val="32"/>
          <w:lang w:val="en-US" w:eastAsia="zh-CN" w:bidi="ar-SA"/>
        </w:rPr>
        <w:t>学院设在深圳，校园位于西丽大学城，总建筑面积逾11万平方米，可同时容纳1800人学习和600人住宿，环境优美，配套设施完善。</w:t>
      </w:r>
    </w:p>
    <w:p>
      <w:pPr>
        <w:spacing w:line="360" w:lineRule="auto"/>
        <w:ind w:left="1" w:firstLine="560" w:firstLineChars="200"/>
        <w:rPr>
          <w:rFonts w:ascii="仿宋_GB2312" w:hAnsi="楷体" w:eastAsia="仿宋_GB2312"/>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D9D41-DBA6-4602-A939-EE89AF393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85BD76D-F670-4434-81B3-35E9D4FACD3A}"/>
  </w:font>
  <w:font w:name="幼圆">
    <w:altName w:val="宋体"/>
    <w:panose1 w:val="0201050906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4DEEF322-8E71-4638-9512-11E2F2586A49}"/>
  </w:font>
  <w:font w:name="仿宋_GB2312">
    <w:panose1 w:val="02010609030101010101"/>
    <w:charset w:val="86"/>
    <w:family w:val="modern"/>
    <w:pitch w:val="default"/>
    <w:sig w:usb0="00000001" w:usb1="080E0000" w:usb2="00000000" w:usb3="00000000" w:csb0="00040000" w:csb1="00000000"/>
    <w:embedRegular r:id="rId4" w:fontKey="{8054CEF4-EF79-49A6-803F-6C3844AA86C9}"/>
  </w:font>
  <w:font w:name="楷体">
    <w:panose1 w:val="02010609060101010101"/>
    <w:charset w:val="86"/>
    <w:family w:val="modern"/>
    <w:pitch w:val="default"/>
    <w:sig w:usb0="800002BF" w:usb1="38CF7CFA" w:usb2="00000016" w:usb3="00000000" w:csb0="00040001" w:csb1="00000000"/>
    <w:embedRegular r:id="rId5" w:fontKey="{D2EF7B8E-C1B4-49D4-9B3E-2888C58FCCA8}"/>
  </w:font>
  <w:font w:name="微软雅黑">
    <w:panose1 w:val="020B0503020204020204"/>
    <w:charset w:val="86"/>
    <w:family w:val="auto"/>
    <w:pitch w:val="default"/>
    <w:sig w:usb0="80000287" w:usb1="2ACF3C50" w:usb2="00000016" w:usb3="00000000" w:csb0="0004001F" w:csb1="00000000"/>
    <w:embedRegular r:id="rId6" w:fontKey="{6EF31C41-E710-4495-B56A-E989048D5A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OGYwMzg2MmVjMWU2MTAwZWJlM2U2MTYzMGFmOGMifQ=="/>
  </w:docVars>
  <w:rsids>
    <w:rsidRoot w:val="00E05B87"/>
    <w:rsid w:val="00003B1F"/>
    <w:rsid w:val="000118E1"/>
    <w:rsid w:val="00045E3E"/>
    <w:rsid w:val="000A3BAE"/>
    <w:rsid w:val="000D33A1"/>
    <w:rsid w:val="000D5DDF"/>
    <w:rsid w:val="000E1F5C"/>
    <w:rsid w:val="000E6657"/>
    <w:rsid w:val="00100B87"/>
    <w:rsid w:val="001262EB"/>
    <w:rsid w:val="0013427E"/>
    <w:rsid w:val="00140863"/>
    <w:rsid w:val="0015050F"/>
    <w:rsid w:val="001B23FA"/>
    <w:rsid w:val="001E270E"/>
    <w:rsid w:val="001F0E3C"/>
    <w:rsid w:val="00226D89"/>
    <w:rsid w:val="002611BB"/>
    <w:rsid w:val="002C0B8A"/>
    <w:rsid w:val="002E2E72"/>
    <w:rsid w:val="00361718"/>
    <w:rsid w:val="00375621"/>
    <w:rsid w:val="00382893"/>
    <w:rsid w:val="00392BF1"/>
    <w:rsid w:val="003A1D0F"/>
    <w:rsid w:val="003C3CD7"/>
    <w:rsid w:val="003C51D3"/>
    <w:rsid w:val="003C5624"/>
    <w:rsid w:val="003D16BE"/>
    <w:rsid w:val="003D2A3F"/>
    <w:rsid w:val="003F18E5"/>
    <w:rsid w:val="0040195F"/>
    <w:rsid w:val="00414295"/>
    <w:rsid w:val="0042791E"/>
    <w:rsid w:val="004559FA"/>
    <w:rsid w:val="004603EC"/>
    <w:rsid w:val="00483837"/>
    <w:rsid w:val="004E3DE7"/>
    <w:rsid w:val="00503F72"/>
    <w:rsid w:val="00506945"/>
    <w:rsid w:val="00534C7A"/>
    <w:rsid w:val="0054125E"/>
    <w:rsid w:val="00552E47"/>
    <w:rsid w:val="00555FEA"/>
    <w:rsid w:val="00560A31"/>
    <w:rsid w:val="00595B15"/>
    <w:rsid w:val="005F1924"/>
    <w:rsid w:val="00603576"/>
    <w:rsid w:val="00630D75"/>
    <w:rsid w:val="00637CC2"/>
    <w:rsid w:val="00666D80"/>
    <w:rsid w:val="006D6EF1"/>
    <w:rsid w:val="0070569B"/>
    <w:rsid w:val="0073299E"/>
    <w:rsid w:val="007510A6"/>
    <w:rsid w:val="00777EA7"/>
    <w:rsid w:val="007943B4"/>
    <w:rsid w:val="007B362B"/>
    <w:rsid w:val="007D73E8"/>
    <w:rsid w:val="008027A7"/>
    <w:rsid w:val="00807401"/>
    <w:rsid w:val="00820558"/>
    <w:rsid w:val="00841C5C"/>
    <w:rsid w:val="00844B7B"/>
    <w:rsid w:val="008478C3"/>
    <w:rsid w:val="00866DA6"/>
    <w:rsid w:val="00890AA9"/>
    <w:rsid w:val="008B1974"/>
    <w:rsid w:val="008B26B5"/>
    <w:rsid w:val="008B4469"/>
    <w:rsid w:val="008F1486"/>
    <w:rsid w:val="008F784F"/>
    <w:rsid w:val="009175F3"/>
    <w:rsid w:val="009904D9"/>
    <w:rsid w:val="009B0FEE"/>
    <w:rsid w:val="009C533E"/>
    <w:rsid w:val="00A13EB1"/>
    <w:rsid w:val="00A51D12"/>
    <w:rsid w:val="00A56F7F"/>
    <w:rsid w:val="00A64CDD"/>
    <w:rsid w:val="00B12800"/>
    <w:rsid w:val="00B52234"/>
    <w:rsid w:val="00B52DB6"/>
    <w:rsid w:val="00B55063"/>
    <w:rsid w:val="00B92030"/>
    <w:rsid w:val="00BD5D4A"/>
    <w:rsid w:val="00C02F9E"/>
    <w:rsid w:val="00C354DC"/>
    <w:rsid w:val="00C8494F"/>
    <w:rsid w:val="00C86C89"/>
    <w:rsid w:val="00CA6625"/>
    <w:rsid w:val="00CC006F"/>
    <w:rsid w:val="00CD2ECF"/>
    <w:rsid w:val="00CE2470"/>
    <w:rsid w:val="00D155BD"/>
    <w:rsid w:val="00D225DC"/>
    <w:rsid w:val="00D52676"/>
    <w:rsid w:val="00D660DB"/>
    <w:rsid w:val="00D9001C"/>
    <w:rsid w:val="00DC06AC"/>
    <w:rsid w:val="00DC400B"/>
    <w:rsid w:val="00DF5FD6"/>
    <w:rsid w:val="00E037A7"/>
    <w:rsid w:val="00E05B87"/>
    <w:rsid w:val="00E8137A"/>
    <w:rsid w:val="00E94412"/>
    <w:rsid w:val="00EC4F8F"/>
    <w:rsid w:val="00EF332A"/>
    <w:rsid w:val="00F0696A"/>
    <w:rsid w:val="00F41C45"/>
    <w:rsid w:val="00F549F2"/>
    <w:rsid w:val="00F549F4"/>
    <w:rsid w:val="00F8182B"/>
    <w:rsid w:val="00F85D50"/>
    <w:rsid w:val="00FB5E12"/>
    <w:rsid w:val="00FC64C0"/>
    <w:rsid w:val="00FC6C07"/>
    <w:rsid w:val="023F58CE"/>
    <w:rsid w:val="02CD31BD"/>
    <w:rsid w:val="03560202"/>
    <w:rsid w:val="03FD454E"/>
    <w:rsid w:val="06703003"/>
    <w:rsid w:val="08EF3A6F"/>
    <w:rsid w:val="095D64F2"/>
    <w:rsid w:val="0A060A6B"/>
    <w:rsid w:val="0C324B95"/>
    <w:rsid w:val="0EAC3469"/>
    <w:rsid w:val="0F7337A5"/>
    <w:rsid w:val="107A57C2"/>
    <w:rsid w:val="10D514BB"/>
    <w:rsid w:val="13F6294C"/>
    <w:rsid w:val="17541AF9"/>
    <w:rsid w:val="17544830"/>
    <w:rsid w:val="1E69544E"/>
    <w:rsid w:val="1EFA5731"/>
    <w:rsid w:val="1F2E6729"/>
    <w:rsid w:val="20366E16"/>
    <w:rsid w:val="213750A5"/>
    <w:rsid w:val="21817F7C"/>
    <w:rsid w:val="234B3C66"/>
    <w:rsid w:val="237E3C00"/>
    <w:rsid w:val="242F3AAF"/>
    <w:rsid w:val="2583650D"/>
    <w:rsid w:val="25C32DFD"/>
    <w:rsid w:val="2D524193"/>
    <w:rsid w:val="2D70630A"/>
    <w:rsid w:val="2DC8262F"/>
    <w:rsid w:val="2FC76D74"/>
    <w:rsid w:val="306E3B3E"/>
    <w:rsid w:val="35D361D9"/>
    <w:rsid w:val="37003CB0"/>
    <w:rsid w:val="37F75358"/>
    <w:rsid w:val="38C43E25"/>
    <w:rsid w:val="3B4042B7"/>
    <w:rsid w:val="3BD5009B"/>
    <w:rsid w:val="3BF03FA1"/>
    <w:rsid w:val="3DFA175A"/>
    <w:rsid w:val="3F897379"/>
    <w:rsid w:val="3FE35B67"/>
    <w:rsid w:val="43917AEB"/>
    <w:rsid w:val="46190A3E"/>
    <w:rsid w:val="49312096"/>
    <w:rsid w:val="4DA163D5"/>
    <w:rsid w:val="50334495"/>
    <w:rsid w:val="510F05CE"/>
    <w:rsid w:val="525D3832"/>
    <w:rsid w:val="566A11A4"/>
    <w:rsid w:val="58762E6F"/>
    <w:rsid w:val="59462E39"/>
    <w:rsid w:val="59A04EA7"/>
    <w:rsid w:val="5CA50038"/>
    <w:rsid w:val="638258E7"/>
    <w:rsid w:val="665D6CC1"/>
    <w:rsid w:val="66FA18B9"/>
    <w:rsid w:val="67D93026"/>
    <w:rsid w:val="6AC63F9C"/>
    <w:rsid w:val="6B493ED1"/>
    <w:rsid w:val="6B6D2669"/>
    <w:rsid w:val="6B7000B8"/>
    <w:rsid w:val="6E7E5350"/>
    <w:rsid w:val="71632544"/>
    <w:rsid w:val="71724535"/>
    <w:rsid w:val="72A526E9"/>
    <w:rsid w:val="777F66AE"/>
    <w:rsid w:val="77852E76"/>
    <w:rsid w:val="7C68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20"/>
    <w:rPr>
      <w:i/>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9"/>
    <w:link w:val="2"/>
    <w:qFormat/>
    <w:uiPriority w:val="0"/>
    <w:rPr>
      <w:rFonts w:ascii="Times New Roman" w:hAnsi="Times New Roman" w:eastAsia="幼圆" w:cs="Times New Roman"/>
      <w:b/>
      <w:bCs/>
      <w:color w:val="C00000"/>
      <w:kern w:val="44"/>
      <w:sz w:val="32"/>
    </w:rPr>
  </w:style>
  <w:style w:type="character" w:customStyle="1" w:styleId="15">
    <w:name w:val="标题 2 字符"/>
    <w:basedOn w:val="9"/>
    <w:link w:val="3"/>
    <w:semiHidden/>
    <w:qFormat/>
    <w:uiPriority w:val="9"/>
    <w:rPr>
      <w:rFonts w:asciiTheme="majorHAnsi" w:hAnsiTheme="majorHAnsi" w:eastAsiaTheme="majorEastAsia" w:cstheme="majorBidi"/>
      <w:b/>
      <w:bCs/>
      <w:kern w:val="2"/>
      <w:sz w:val="32"/>
      <w:szCs w:val="32"/>
    </w:rPr>
  </w:style>
  <w:style w:type="paragraph" w:customStyle="1" w:styleId="1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2184</Words>
  <Characters>2283</Characters>
  <Lines>9</Lines>
  <Paragraphs>2</Paragraphs>
  <TotalTime>1</TotalTime>
  <ScaleCrop>false</ScaleCrop>
  <LinksUpToDate>false</LinksUpToDate>
  <CharactersWithSpaces>2307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2022-06-16T14:34:00Z</dcterms:created>
  <dc:creator>sysu</dc:creator>
  <cp:lastModifiedBy>hutianchi</cp:lastModifiedBy>
  <dcterms:modified xsi:type="dcterms:W3CDTF">2022-07-12T10:04:17Z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E59131F27F02491FA77BD4FF4B063DD3</vt:lpwstr>
  </property>
</Properties>
</file>