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sz w:val="44"/>
          <w:szCs w:val="44"/>
        </w:rPr>
        <w:t>技术响应、偏离情况说明表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4"/>
          <w:szCs w:val="24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</w:t>
      </w:r>
    </w:p>
    <w:tbl>
      <w:tblPr>
        <w:tblStyle w:val="3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响应文件要求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说明：应对照文件“二、项目管理和服务要求”中“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（二）服务要求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”逐条说明所提供服务已对技术规格要求做出了实质性的响应，并申明与技术规格条文的响应和偏离。特别对有具体参数要求的指标，供应商必须提供具体参数值。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r>
        <w:rPr>
          <w:rFonts w:hint="eastAsia" w:ascii="仿宋_GB2312" w:hAnsi="Courier New" w:eastAsia="仿宋_GB2312"/>
          <w:sz w:val="28"/>
          <w:szCs w:val="28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19CA"/>
    <w:rsid w:val="5F7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2020-10-12T10:34:00Z</dcterms:created>
  <dc:creator>鱼儿晒太阳</dc:creator>
  <cp:lastModifiedBy>鱼儿晒太阳</cp:lastModifiedBy>
  <dcterms:modified xsi:type="dcterms:W3CDTF">2020-10-12T10:35:18Z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