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sz w:val="28"/>
          <w:szCs w:val="28"/>
        </w:rPr>
      </w:pPr>
      <w:bookmarkStart w:id="1" w:name="_GoBack"/>
      <w:bookmarkEnd w:id="1"/>
      <w:bookmarkStart w:id="0" w:name="_Hlk97309510"/>
      <w:r>
        <w:rPr>
          <w:rFonts w:hint="eastAsia" w:ascii="宋体" w:hAnsi="宋体" w:eastAsia="宋体"/>
          <w:sz w:val="28"/>
          <w:szCs w:val="28"/>
        </w:rPr>
        <w:t>附件3</w:t>
      </w:r>
      <w:r>
        <w:rPr>
          <w:rFonts w:hint="eastAsia" w:ascii="宋体" w:hAnsi="宋体" w:eastAsia="宋体"/>
          <w:sz w:val="28"/>
          <w:szCs w:val="28"/>
          <w:lang w:val="en-US" w:eastAsia="zh-CN"/>
        </w:rPr>
        <w:t>-1</w:t>
      </w:r>
      <w:r>
        <w:rPr>
          <w:rFonts w:hint="eastAsia" w:ascii="宋体" w:hAnsi="宋体" w:eastAsia="宋体"/>
          <w:sz w:val="28"/>
          <w:szCs w:val="28"/>
        </w:rPr>
        <w:t>：</w:t>
      </w:r>
    </w:p>
    <w:p>
      <w:pPr>
        <w:spacing w:after="240" w:line="360" w:lineRule="auto"/>
        <w:jc w:val="center"/>
        <w:rPr>
          <w:rFonts w:hint="eastAsia" w:ascii="黑体" w:hAnsi="黑体" w:eastAsia="黑体"/>
          <w:sz w:val="36"/>
          <w:szCs w:val="36"/>
          <w:lang w:val="en-US" w:eastAsia="zh-CN"/>
        </w:rPr>
      </w:pPr>
      <w:r>
        <w:rPr>
          <w:rFonts w:hint="eastAsia" w:ascii="黑体" w:hAnsi="黑体" w:eastAsia="黑体"/>
          <w:sz w:val="36"/>
          <w:szCs w:val="36"/>
        </w:rPr>
        <w:t>存续期绿色金融机构经营情况</w:t>
      </w:r>
      <w:r>
        <w:rPr>
          <w:rFonts w:hint="eastAsia" w:ascii="黑体" w:hAnsi="黑体" w:eastAsia="黑体"/>
          <w:sz w:val="36"/>
          <w:szCs w:val="36"/>
          <w:lang w:val="en-US" w:eastAsia="zh-CN"/>
        </w:rPr>
        <w:t>报送材料清单</w:t>
      </w:r>
    </w:p>
    <w:p>
      <w:pPr>
        <w:spacing w:after="240" w:line="360" w:lineRule="auto"/>
        <w:jc w:val="both"/>
        <w:rPr>
          <w:rFonts w:ascii="宋体" w:hAnsi="宋体" w:eastAsia="宋体"/>
          <w:sz w:val="28"/>
          <w:szCs w:val="28"/>
        </w:rPr>
      </w:pPr>
      <w:r>
        <w:rPr>
          <w:rFonts w:hint="eastAsia" w:ascii="宋体" w:hAnsi="宋体" w:eastAsia="宋体"/>
          <w:sz w:val="28"/>
          <w:szCs w:val="28"/>
        </w:rPr>
        <w:t>绿色金融机构名称</w:t>
      </w:r>
      <w:r>
        <w:rPr>
          <w:rFonts w:hint="eastAsia" w:ascii="宋体" w:hAnsi="宋体" w:eastAsia="宋体"/>
          <w:sz w:val="28"/>
          <w:szCs w:val="28"/>
          <w:lang w:eastAsia="zh-CN"/>
        </w:rPr>
        <w:t>（</w:t>
      </w:r>
      <w:r>
        <w:rPr>
          <w:rFonts w:hint="eastAsia" w:ascii="宋体" w:hAnsi="宋体" w:eastAsia="宋体"/>
          <w:sz w:val="28"/>
          <w:szCs w:val="28"/>
          <w:lang w:val="en-US" w:eastAsia="zh-CN"/>
        </w:rPr>
        <w:t>公章</w:t>
      </w:r>
      <w:r>
        <w:rPr>
          <w:rFonts w:hint="eastAsia" w:ascii="宋体" w:hAnsi="宋体" w:eastAsia="宋体"/>
          <w:sz w:val="28"/>
          <w:szCs w:val="28"/>
          <w:lang w:eastAsia="zh-CN"/>
        </w:rPr>
        <w:t>）</w:t>
      </w: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填报人及联系方式：</w:t>
      </w:r>
    </w:p>
    <w:p>
      <w:pPr>
        <w:jc w:val="left"/>
        <w:rPr>
          <w:rFonts w:hint="eastAsia" w:ascii="宋体" w:hAnsi="宋体" w:eastAsia="宋体"/>
          <w:sz w:val="28"/>
          <w:szCs w:val="28"/>
        </w:rPr>
      </w:pPr>
      <w:r>
        <w:rPr>
          <w:rFonts w:hint="eastAsia" w:ascii="宋体" w:hAnsi="宋体" w:eastAsia="宋体"/>
          <w:sz w:val="28"/>
          <w:szCs w:val="28"/>
        </w:rPr>
        <w:t>评估期间：2</w:t>
      </w:r>
      <w:r>
        <w:rPr>
          <w:rFonts w:ascii="宋体" w:hAnsi="宋体" w:eastAsia="宋体"/>
          <w:sz w:val="28"/>
          <w:szCs w:val="28"/>
        </w:rPr>
        <w:t>021</w:t>
      </w:r>
      <w:r>
        <w:rPr>
          <w:rFonts w:hint="eastAsia" w:ascii="宋体" w:hAnsi="宋体" w:eastAsia="宋体"/>
          <w:sz w:val="28"/>
          <w:szCs w:val="28"/>
        </w:rPr>
        <w:t>年</w:t>
      </w:r>
      <w:r>
        <w:rPr>
          <w:rFonts w:ascii="宋体" w:hAnsi="宋体" w:eastAsia="宋体"/>
          <w:sz w:val="28"/>
          <w:szCs w:val="28"/>
        </w:rPr>
        <w:t>1</w:t>
      </w:r>
      <w:r>
        <w:rPr>
          <w:rFonts w:hint="eastAsia" w:ascii="宋体" w:hAnsi="宋体" w:eastAsia="宋体"/>
          <w:sz w:val="28"/>
          <w:szCs w:val="28"/>
        </w:rPr>
        <w:t>月-</w:t>
      </w:r>
      <w:r>
        <w:rPr>
          <w:rFonts w:ascii="宋体" w:hAnsi="宋体" w:eastAsia="宋体"/>
          <w:sz w:val="28"/>
          <w:szCs w:val="28"/>
        </w:rPr>
        <w:t>12</w:t>
      </w:r>
      <w:r>
        <w:rPr>
          <w:rFonts w:hint="eastAsia" w:ascii="宋体" w:hAnsi="宋体" w:eastAsia="宋体"/>
          <w:sz w:val="28"/>
          <w:szCs w:val="28"/>
        </w:rPr>
        <w:t>月</w:t>
      </w:r>
    </w:p>
    <w:tbl>
      <w:tblPr>
        <w:tblStyle w:val="10"/>
        <w:tblW w:w="1390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5"/>
        <w:gridCol w:w="1488"/>
        <w:gridCol w:w="6276"/>
        <w:gridCol w:w="2088"/>
        <w:gridCol w:w="3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建设要求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落实情况</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佐证材料（可另附）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建设项目</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具体要求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制度建设</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绿色金融专营体系建设的银行总（分）行应当自上而下建立标准化的绿色金融业务流程和有效的风险管理机制，设立专门的绿色金融业务中后台支持部门或者岗位</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经营规划</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绿色金融机构应制定未来3年绿色金融发展规划</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人才团队</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绿色金融机构应成立专门的绿色金融团队，负责人具有2年以上绿色金融相关业务经验</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40404"/>
                <w:sz w:val="24"/>
                <w:szCs w:val="24"/>
                <w:u w:val="none"/>
              </w:rPr>
            </w:pP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绿色金融机构应配有不少于2名具备金融、环境等复合型知识的专职绿色金融客户经理，并根据业务发展及时增配人员</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2"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经营规模</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绿色金融机构的绿色融资余额占该绿色金融机构全部公司业务融资余额的比重不低于25%</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eastAsia="zh-CN" w:bidi="ar"/>
              </w:rPr>
              <w:t>6</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40404"/>
                <w:sz w:val="24"/>
                <w:szCs w:val="24"/>
                <w:u w:val="none"/>
              </w:rPr>
            </w:pP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绿色融资余额较年初增速原则上不低于该绿色金融机构各项贷款增速的120%</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eastAsia="zh-CN" w:bidi="ar"/>
              </w:rPr>
              <w:t>7</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产品创新</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在总（分）行的指导下，持续开展创新绿色金融产品，提升绿色金融服务质效</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40404"/>
                <w:sz w:val="24"/>
                <w:szCs w:val="24"/>
                <w:u w:val="none"/>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4040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rPr>
            </w:pPr>
            <w:r>
              <w:rPr>
                <w:rFonts w:hint="default" w:ascii="宋体" w:hAnsi="宋体" w:eastAsia="宋体" w:cs="宋体"/>
                <w:i w:val="0"/>
                <w:iCs w:val="0"/>
                <w:color w:val="000000"/>
                <w:sz w:val="22"/>
                <w:szCs w:val="22"/>
                <w:u w:val="none"/>
              </w:rPr>
              <w:t>8</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40404"/>
                <w:sz w:val="24"/>
                <w:szCs w:val="24"/>
                <w:u w:val="none"/>
              </w:rPr>
            </w:pP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总结绿色金融典型案例</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40404"/>
                <w:sz w:val="24"/>
                <w:szCs w:val="24"/>
                <w:u w:val="none"/>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4040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eastAsia="zh-CN" w:bidi="ar"/>
              </w:rPr>
              <w:t>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绿色运营</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积极建设节约型机构，推行绿色办公，践行绿色发展理念，实现绿色低碳运行</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40404"/>
                <w:sz w:val="24"/>
                <w:szCs w:val="24"/>
                <w:u w:val="none"/>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4040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eastAsia="zh-CN" w:bidi="ar"/>
              </w:rPr>
              <w:t>10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绿色投资评估</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建立绿色融资评估制度，充分利用金融科技，加强对融资项目的绿色效益跟踪评价，对相关融资项目进行贷前评估和贷后管理</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40404"/>
                <w:sz w:val="24"/>
                <w:szCs w:val="24"/>
                <w:u w:val="none"/>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4040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eastAsia="zh-CN" w:bidi="ar"/>
              </w:rPr>
              <w:t>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授信管理</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对拟授信客户进行严格的合规审查，针对不同行业客户特点，制定环境和社会方面的合规风险审查清单，确保客户提交的文件和相关手续的合规性、有效性和完整性，符合实质合规要求。根据客户面临的环境和社会风险的性质和严重程度，确定合理的授信权限和审批流程。对环境和社会表现不合规的客户，不予授信。</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40404"/>
                <w:sz w:val="24"/>
                <w:szCs w:val="24"/>
                <w:u w:val="none"/>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4040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eastAsia="zh-CN" w:bidi="ar"/>
              </w:rPr>
              <w:t>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重大环境和社会风险客户管理</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对存在重大环境和社会风险的客户实行名单制管理，要求其采取风险缓释措施，包括制定并落实重大风险应对预案，建立充分、有效的利益相关方沟通机制，寻求第三方分担环境和社会风险等</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40404"/>
                <w:sz w:val="24"/>
                <w:szCs w:val="24"/>
                <w:u w:val="none"/>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4040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eastAsia="zh-CN" w:bidi="ar"/>
              </w:rPr>
              <w:t>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统计监测</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按照国家金融监管部门和地方金融监管部门关于绿色金融统计的相关要求，建立绿色融资统计制度，重点统计、分析绿色融资余额比重、违约率、绿色资产分布和质量，以及绿色融资的环境效益等</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40404"/>
                <w:sz w:val="24"/>
                <w:szCs w:val="24"/>
                <w:u w:val="none"/>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4040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eastAsia="zh-CN" w:bidi="ar"/>
              </w:rPr>
              <w:t>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风险评估</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创新使用环境压力测试和情景分析等方法和工具，对自身在气候变化、环境监管和可持续发展等压力情况下面临的信用风险、市场风险和其他金融风险进行量化分析</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40404"/>
                <w:sz w:val="24"/>
                <w:szCs w:val="24"/>
                <w:u w:val="none"/>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4040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eastAsia="zh-CN" w:bidi="ar"/>
              </w:rPr>
              <w:t>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环境信息披露</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参照《深圳绿金条例》“第五章环境信息披露”规定开展环境信息披露，如果选择“是/否已经开始环境信息披露”，如果选择“是”，请列明完成时间。</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40404"/>
                <w:sz w:val="24"/>
                <w:szCs w:val="24"/>
                <w:u w:val="none"/>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4040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eastAsia="zh-CN" w:bidi="ar"/>
              </w:rPr>
              <w:t>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企业对接</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积极参加监管部门组织的银企对接会</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40404"/>
                <w:sz w:val="24"/>
                <w:szCs w:val="24"/>
                <w:u w:val="none"/>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4040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eastAsia="zh-CN" w:bidi="ar"/>
              </w:rPr>
              <w:t>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单列绿色信贷规模</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总（分）行每年应当安排专项绿色信贷规模，优先满足绿色领域企业和项目的融资需求。在调控信贷规模的情况下，优先保障绿色金融机构的业务需求。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40404"/>
                <w:sz w:val="24"/>
                <w:szCs w:val="24"/>
                <w:u w:val="none"/>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4040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eastAsia="zh-CN" w:bidi="ar"/>
              </w:rPr>
              <w:t>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单列绿色信贷审批通道</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总（分）行应当开辟独立的绿色信贷审批通道，设置专门的绿色信贷审批岗位，提高审批效率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40404"/>
                <w:sz w:val="24"/>
                <w:szCs w:val="24"/>
                <w:u w:val="none"/>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4040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eastAsia="zh-CN" w:bidi="ar"/>
              </w:rPr>
              <w:t>19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单列绩效考核</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总（分）行应当建立科学合理的绿色金融绩效考核机制，突出对绿色金融的正向激励</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40404"/>
                <w:sz w:val="24"/>
                <w:szCs w:val="24"/>
                <w:u w:val="none"/>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4040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default" w:ascii="宋体" w:hAnsi="宋体" w:eastAsia="宋体" w:cs="宋体"/>
                <w:i w:val="0"/>
                <w:iCs w:val="0"/>
                <w:color w:val="000000"/>
                <w:kern w:val="0"/>
                <w:sz w:val="22"/>
                <w:szCs w:val="22"/>
                <w:u w:val="none"/>
                <w:lang w:eastAsia="zh-CN" w:bidi="ar"/>
              </w:rPr>
              <w:t>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单列资金价格和风险权重</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40404"/>
                <w:sz w:val="24"/>
                <w:szCs w:val="24"/>
                <w:u w:val="none"/>
              </w:rPr>
            </w:pPr>
            <w:r>
              <w:rPr>
                <w:rFonts w:hint="eastAsia" w:ascii="宋体" w:hAnsi="宋体" w:eastAsia="宋体" w:cs="宋体"/>
                <w:i w:val="0"/>
                <w:iCs w:val="0"/>
                <w:color w:val="040404"/>
                <w:kern w:val="0"/>
                <w:sz w:val="24"/>
                <w:szCs w:val="24"/>
                <w:u w:val="none"/>
                <w:lang w:val="en-US" w:eastAsia="zh-CN" w:bidi="ar"/>
              </w:rPr>
              <w:t>总（分）行探索对绿色金融机构设置差异化的资金价格和风险管理政策，如：对绿色融资项目提供优惠的资金成本价格，包括贷款利率和手续费等；提高对绿色金融机构的绿色信贷风险资产不良容忍度等</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40404"/>
                <w:sz w:val="24"/>
                <w:szCs w:val="24"/>
                <w:u w:val="none"/>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4040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eastAsia="zh-CN" w:bidi="ar"/>
              </w:rPr>
            </w:pPr>
            <w:r>
              <w:rPr>
                <w:rFonts w:hint="eastAsia" w:ascii="宋体" w:hAnsi="宋体" w:eastAsia="宋体" w:cs="宋体"/>
                <w:i w:val="0"/>
                <w:iCs w:val="0"/>
                <w:color w:val="000000"/>
                <w:kern w:val="0"/>
                <w:sz w:val="22"/>
                <w:szCs w:val="22"/>
                <w:u w:val="none"/>
                <w:lang w:val="en-US" w:eastAsia="zh-CN" w:bidi="ar"/>
              </w:rPr>
              <w:t>2</w:t>
            </w:r>
            <w:r>
              <w:rPr>
                <w:rFonts w:hint="default" w:ascii="宋体" w:hAnsi="宋体" w:eastAsia="宋体" w:cs="宋体"/>
                <w:i w:val="0"/>
                <w:iCs w:val="0"/>
                <w:color w:val="000000"/>
                <w:kern w:val="0"/>
                <w:sz w:val="22"/>
                <w:szCs w:val="22"/>
                <w:u w:val="none"/>
                <w:lang w:eastAsia="zh-CN" w:bidi="ar"/>
              </w:rPr>
              <w:t>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40404"/>
                <w:kern w:val="0"/>
                <w:sz w:val="24"/>
                <w:szCs w:val="24"/>
                <w:u w:val="none"/>
                <w:lang w:val="en-US" w:eastAsia="zh-CN" w:bidi="ar"/>
              </w:rPr>
            </w:pPr>
            <w:r>
              <w:rPr>
                <w:rFonts w:hint="eastAsia" w:ascii="宋体" w:hAnsi="宋体" w:eastAsia="宋体" w:cs="宋体"/>
                <w:i w:val="0"/>
                <w:iCs w:val="0"/>
                <w:color w:val="040404"/>
                <w:kern w:val="0"/>
                <w:sz w:val="24"/>
                <w:szCs w:val="24"/>
                <w:u w:val="none"/>
                <w:lang w:val="en-US" w:eastAsia="zh-CN" w:bidi="ar"/>
              </w:rPr>
              <w:t>其他</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40404"/>
                <w:kern w:val="0"/>
                <w:sz w:val="24"/>
                <w:szCs w:val="24"/>
                <w:u w:val="none"/>
                <w:lang w:val="en-US" w:eastAsia="zh-CN" w:bidi="ar"/>
              </w:rPr>
            </w:pPr>
            <w:r>
              <w:rPr>
                <w:rFonts w:hint="eastAsia" w:ascii="宋体" w:hAnsi="宋体" w:eastAsia="宋体" w:cs="宋体"/>
                <w:i w:val="0"/>
                <w:iCs w:val="0"/>
                <w:color w:val="040404"/>
                <w:kern w:val="0"/>
                <w:sz w:val="24"/>
                <w:szCs w:val="24"/>
                <w:u w:val="none"/>
                <w:lang w:val="en-US" w:eastAsia="zh-CN" w:bidi="ar"/>
              </w:rPr>
              <w:t>可补充在绿色金融领域取得的成就、获得的奖项或奖励</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40404"/>
                <w:sz w:val="24"/>
                <w:szCs w:val="24"/>
                <w:u w:val="none"/>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40404"/>
                <w:sz w:val="24"/>
                <w:szCs w:val="24"/>
                <w:u w:val="none"/>
              </w:rPr>
            </w:pPr>
          </w:p>
        </w:tc>
      </w:tr>
    </w:tbl>
    <w:p>
      <w:pPr>
        <w:rPr>
          <w:rFonts w:hint="eastAsia" w:ascii="宋体" w:hAnsi="宋体" w:eastAsia="宋体"/>
          <w:sz w:val="28"/>
          <w:szCs w:val="28"/>
        </w:rPr>
      </w:pPr>
      <w:r>
        <w:rPr>
          <w:rFonts w:hint="eastAsia" w:ascii="宋体" w:hAnsi="宋体" w:eastAsia="宋体"/>
          <w:sz w:val="28"/>
          <w:szCs w:val="28"/>
        </w:rPr>
        <w:br w:type="page"/>
      </w:r>
    </w:p>
    <w:p>
      <w:pPr>
        <w:pStyle w:val="9"/>
        <w:widowControl/>
        <w:shd w:val="clear" w:color="auto" w:fill="FFFFFF"/>
        <w:spacing w:beforeAutospacing="0" w:afterAutospacing="0" w:line="560" w:lineRule="exact"/>
        <w:jc w:val="right"/>
        <w:rPr>
          <w:rFonts w:hint="eastAsia" w:ascii="仿宋_GB2312" w:hAnsi="仿宋_GB2312" w:eastAsia="仿宋_GB2312" w:cs="仿宋_GB2312"/>
          <w:sz w:val="32"/>
          <w:szCs w:val="32"/>
          <w:shd w:val="clear" w:color="auto" w:fill="FFFFFF"/>
        </w:rPr>
        <w:sectPr>
          <w:headerReference r:id="rId5" w:type="first"/>
          <w:footerReference r:id="rId8" w:type="first"/>
          <w:headerReference r:id="rId3" w:type="default"/>
          <w:footerReference r:id="rId6" w:type="default"/>
          <w:headerReference r:id="rId4" w:type="even"/>
          <w:footerReference r:id="rId7" w:type="even"/>
          <w:pgSz w:w="16838" w:h="11906" w:orient="landscape"/>
          <w:pgMar w:top="1797" w:right="1440" w:bottom="1797" w:left="1440" w:header="851" w:footer="992" w:gutter="0"/>
          <w:cols w:space="425" w:num="1"/>
          <w:docGrid w:type="lines" w:linePitch="312" w:charSpace="0"/>
        </w:sectPr>
      </w:pPr>
    </w:p>
    <w:p>
      <w:pPr>
        <w:rPr>
          <w:rFonts w:ascii="宋体" w:hAnsi="宋体" w:eastAsia="宋体"/>
          <w:sz w:val="28"/>
          <w:szCs w:val="28"/>
        </w:rPr>
      </w:pPr>
      <w:r>
        <w:rPr>
          <w:rFonts w:hint="eastAsia" w:ascii="宋体" w:hAnsi="宋体" w:eastAsia="宋体"/>
          <w:sz w:val="28"/>
          <w:szCs w:val="28"/>
        </w:rPr>
        <w:t>附件</w:t>
      </w:r>
      <w:r>
        <w:rPr>
          <w:rFonts w:hint="eastAsia" w:ascii="宋体" w:hAnsi="宋体" w:eastAsia="宋体"/>
          <w:sz w:val="28"/>
          <w:szCs w:val="28"/>
          <w:lang w:val="en-US" w:eastAsia="zh-CN"/>
        </w:rPr>
        <w:t>3-2</w:t>
      </w:r>
      <w:r>
        <w:rPr>
          <w:rFonts w:hint="eastAsia" w:ascii="宋体" w:hAnsi="宋体" w:eastAsia="宋体"/>
          <w:sz w:val="28"/>
          <w:szCs w:val="28"/>
        </w:rPr>
        <w:t>：</w:t>
      </w:r>
    </w:p>
    <w:p>
      <w:pPr>
        <w:spacing w:line="360" w:lineRule="auto"/>
        <w:jc w:val="left"/>
        <w:rPr>
          <w:rFonts w:hint="eastAsia" w:ascii="黑体" w:hAnsi="黑体" w:eastAsia="黑体"/>
          <w:sz w:val="32"/>
          <w:szCs w:val="32"/>
          <w:lang w:val="en-US" w:eastAsia="zh-CN"/>
        </w:rPr>
      </w:pPr>
    </w:p>
    <w:p>
      <w:pPr>
        <w:spacing w:line="360" w:lineRule="auto"/>
        <w:jc w:val="center"/>
        <w:rPr>
          <w:rFonts w:hint="eastAsia" w:ascii="黑体" w:hAnsi="黑体" w:eastAsia="黑体"/>
          <w:sz w:val="36"/>
          <w:szCs w:val="36"/>
        </w:rPr>
      </w:pPr>
      <w:r>
        <w:rPr>
          <w:rFonts w:hint="eastAsia" w:ascii="黑体" w:hAnsi="黑体" w:eastAsia="黑体"/>
          <w:sz w:val="36"/>
          <w:szCs w:val="36"/>
        </w:rPr>
        <w:t>存续期绿色金融机构绿色融资数据统计表</w:t>
      </w:r>
    </w:p>
    <w:p>
      <w:pPr>
        <w:spacing w:line="360" w:lineRule="auto"/>
        <w:jc w:val="center"/>
        <w:rPr>
          <w:rFonts w:hint="eastAsia" w:ascii="黑体" w:hAnsi="黑体" w:eastAsia="黑体"/>
          <w:sz w:val="32"/>
          <w:szCs w:val="32"/>
        </w:rPr>
      </w:pPr>
    </w:p>
    <w:p>
      <w:pPr>
        <w:jc w:val="left"/>
        <w:rPr>
          <w:rFonts w:hint="eastAsia" w:ascii="宋体" w:hAnsi="宋体" w:eastAsia="宋体"/>
          <w:sz w:val="28"/>
          <w:szCs w:val="28"/>
        </w:rPr>
      </w:pPr>
      <w:r>
        <w:rPr>
          <w:rFonts w:hint="eastAsia" w:ascii="宋体" w:hAnsi="宋体" w:eastAsia="宋体"/>
          <w:sz w:val="28"/>
          <w:szCs w:val="28"/>
        </w:rPr>
        <w:t>绿色金融机构名称</w:t>
      </w:r>
      <w:r>
        <w:rPr>
          <w:rFonts w:hint="eastAsia" w:ascii="宋体" w:hAnsi="宋体" w:eastAsia="宋体"/>
          <w:sz w:val="28"/>
          <w:szCs w:val="28"/>
          <w:lang w:eastAsia="zh-CN"/>
        </w:rPr>
        <w:t>（</w:t>
      </w:r>
      <w:r>
        <w:rPr>
          <w:rFonts w:hint="eastAsia" w:ascii="宋体" w:hAnsi="宋体" w:eastAsia="宋体"/>
          <w:sz w:val="28"/>
          <w:szCs w:val="28"/>
          <w:lang w:val="en-US" w:eastAsia="zh-CN"/>
        </w:rPr>
        <w:t>公章</w:t>
      </w:r>
      <w:r>
        <w:rPr>
          <w:rFonts w:hint="eastAsia" w:ascii="宋体" w:hAnsi="宋体" w:eastAsia="宋体"/>
          <w:sz w:val="28"/>
          <w:szCs w:val="28"/>
          <w:lang w:eastAsia="zh-CN"/>
        </w:rPr>
        <w:t>）</w:t>
      </w: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填报人及联系方式：</w:t>
      </w:r>
    </w:p>
    <w:p>
      <w:pPr>
        <w:jc w:val="left"/>
        <w:rPr>
          <w:rFonts w:hint="eastAsia" w:ascii="宋体" w:hAnsi="宋体" w:eastAsia="宋体"/>
          <w:sz w:val="28"/>
          <w:szCs w:val="28"/>
        </w:rPr>
      </w:pPr>
    </w:p>
    <w:tbl>
      <w:tblPr>
        <w:tblStyle w:val="11"/>
        <w:tblW w:w="49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895"/>
        <w:gridCol w:w="2125"/>
        <w:gridCol w:w="4536"/>
        <w:gridCol w:w="2604"/>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248" w:type="pct"/>
            <w:vAlign w:val="center"/>
          </w:tcPr>
          <w:p>
            <w:pPr>
              <w:widowControl/>
              <w:spacing w:line="276" w:lineRule="auto"/>
              <w:jc w:val="left"/>
              <w:rPr>
                <w:rFonts w:ascii="宋体" w:hAnsi="宋体" w:eastAsia="宋体" w:cs="宋体"/>
                <w:color w:val="040404"/>
                <w:kern w:val="0"/>
                <w:sz w:val="24"/>
                <w:szCs w:val="21"/>
              </w:rPr>
            </w:pPr>
          </w:p>
        </w:tc>
        <w:tc>
          <w:tcPr>
            <w:tcW w:w="675" w:type="pct"/>
            <w:vAlign w:val="center"/>
          </w:tcPr>
          <w:p>
            <w:pPr>
              <w:widowControl/>
              <w:spacing w:line="276" w:lineRule="auto"/>
              <w:jc w:val="left"/>
              <w:rPr>
                <w:rFonts w:ascii="宋体" w:hAnsi="宋体" w:eastAsia="宋体" w:cs="宋体"/>
                <w:b/>
                <w:bCs/>
                <w:color w:val="040404"/>
                <w:kern w:val="0"/>
                <w:sz w:val="24"/>
                <w:szCs w:val="21"/>
              </w:rPr>
            </w:pPr>
            <w:r>
              <w:rPr>
                <w:rFonts w:hint="eastAsia" w:ascii="宋体" w:hAnsi="宋体" w:eastAsia="宋体" w:cs="宋体"/>
                <w:b/>
                <w:bCs/>
                <w:color w:val="040404"/>
                <w:kern w:val="0"/>
                <w:sz w:val="24"/>
                <w:szCs w:val="21"/>
              </w:rPr>
              <w:t>绿色金融融资余额</w:t>
            </w:r>
          </w:p>
        </w:tc>
        <w:tc>
          <w:tcPr>
            <w:tcW w:w="757" w:type="pct"/>
            <w:vAlign w:val="center"/>
          </w:tcPr>
          <w:p>
            <w:pPr>
              <w:widowControl/>
              <w:spacing w:line="276" w:lineRule="auto"/>
              <w:jc w:val="left"/>
              <w:rPr>
                <w:rFonts w:ascii="宋体" w:hAnsi="宋体" w:eastAsia="宋体" w:cs="宋体"/>
                <w:b/>
                <w:bCs/>
                <w:color w:val="040404"/>
                <w:kern w:val="0"/>
                <w:sz w:val="24"/>
                <w:szCs w:val="21"/>
              </w:rPr>
            </w:pPr>
            <w:r>
              <w:rPr>
                <w:rFonts w:ascii="宋体" w:hAnsi="宋体" w:eastAsia="宋体" w:cs="宋体"/>
                <w:b/>
                <w:bCs/>
                <w:color w:val="040404"/>
                <w:kern w:val="0"/>
                <w:sz w:val="24"/>
                <w:szCs w:val="21"/>
              </w:rPr>
              <w:t>全部公司业务融资余额</w:t>
            </w:r>
          </w:p>
        </w:tc>
        <w:tc>
          <w:tcPr>
            <w:tcW w:w="1616" w:type="pct"/>
            <w:vAlign w:val="center"/>
          </w:tcPr>
          <w:p>
            <w:pPr>
              <w:widowControl/>
              <w:spacing w:line="276" w:lineRule="auto"/>
              <w:jc w:val="left"/>
              <w:rPr>
                <w:rFonts w:ascii="宋体" w:hAnsi="宋体" w:eastAsia="宋体" w:cs="宋体"/>
                <w:b/>
                <w:bCs/>
                <w:color w:val="040404"/>
                <w:kern w:val="0"/>
                <w:sz w:val="24"/>
                <w:szCs w:val="21"/>
              </w:rPr>
            </w:pPr>
            <w:r>
              <w:rPr>
                <w:rFonts w:ascii="宋体" w:hAnsi="宋体" w:eastAsia="宋体" w:cs="宋体"/>
                <w:b/>
                <w:bCs/>
                <w:color w:val="040404"/>
                <w:kern w:val="0"/>
                <w:sz w:val="24"/>
                <w:szCs w:val="21"/>
              </w:rPr>
              <w:t>公司业务融资余额</w:t>
            </w:r>
            <w:r>
              <w:rPr>
                <w:rFonts w:hint="eastAsia" w:ascii="宋体" w:hAnsi="宋体" w:eastAsia="宋体" w:cs="宋体"/>
                <w:b/>
                <w:bCs/>
                <w:color w:val="040404"/>
                <w:kern w:val="0"/>
                <w:sz w:val="24"/>
                <w:szCs w:val="21"/>
              </w:rPr>
              <w:t>中</w:t>
            </w:r>
            <w:r>
              <w:rPr>
                <w:rFonts w:ascii="宋体" w:hAnsi="宋体" w:eastAsia="宋体" w:cs="宋体"/>
                <w:b/>
                <w:bCs/>
                <w:color w:val="040404"/>
                <w:kern w:val="0"/>
                <w:sz w:val="24"/>
                <w:szCs w:val="21"/>
              </w:rPr>
              <w:t>绿色融资余额占</w:t>
            </w:r>
            <w:r>
              <w:rPr>
                <w:rFonts w:hint="eastAsia" w:ascii="宋体" w:hAnsi="宋体" w:eastAsia="宋体" w:cs="宋体"/>
                <w:b/>
                <w:bCs/>
                <w:color w:val="040404"/>
                <w:kern w:val="0"/>
                <w:sz w:val="24"/>
                <w:szCs w:val="21"/>
              </w:rPr>
              <w:t>比</w:t>
            </w:r>
          </w:p>
        </w:tc>
        <w:tc>
          <w:tcPr>
            <w:tcW w:w="0" w:type="auto"/>
            <w:vAlign w:val="center"/>
          </w:tcPr>
          <w:p>
            <w:pPr>
              <w:widowControl/>
              <w:spacing w:line="276" w:lineRule="auto"/>
              <w:jc w:val="left"/>
              <w:rPr>
                <w:rFonts w:ascii="宋体" w:hAnsi="宋体" w:eastAsia="宋体" w:cs="宋体"/>
                <w:b/>
                <w:bCs/>
                <w:color w:val="040404"/>
                <w:kern w:val="0"/>
                <w:sz w:val="24"/>
                <w:szCs w:val="21"/>
              </w:rPr>
            </w:pPr>
            <w:r>
              <w:rPr>
                <w:rFonts w:ascii="宋体" w:hAnsi="宋体" w:eastAsia="宋体" w:cs="宋体"/>
                <w:b/>
                <w:bCs/>
                <w:color w:val="040404"/>
                <w:kern w:val="0"/>
                <w:sz w:val="24"/>
                <w:szCs w:val="21"/>
              </w:rPr>
              <w:t>绿色融资余额增速</w:t>
            </w:r>
            <w:r>
              <w:rPr>
                <w:rFonts w:hint="eastAsia" w:ascii="宋体" w:hAnsi="宋体" w:eastAsia="宋体" w:cs="宋体"/>
                <w:b/>
                <w:bCs/>
                <w:color w:val="040404"/>
                <w:kern w:val="0"/>
                <w:sz w:val="24"/>
                <w:szCs w:val="21"/>
              </w:rPr>
              <w:t>（%）</w:t>
            </w:r>
          </w:p>
        </w:tc>
        <w:tc>
          <w:tcPr>
            <w:tcW w:w="0" w:type="auto"/>
            <w:vAlign w:val="center"/>
          </w:tcPr>
          <w:p>
            <w:pPr>
              <w:widowControl/>
              <w:spacing w:line="276" w:lineRule="auto"/>
              <w:jc w:val="left"/>
              <w:rPr>
                <w:rFonts w:ascii="宋体" w:hAnsi="宋体" w:eastAsia="宋体" w:cs="宋体"/>
                <w:b/>
                <w:bCs/>
                <w:color w:val="040404"/>
                <w:kern w:val="0"/>
                <w:sz w:val="24"/>
                <w:szCs w:val="21"/>
              </w:rPr>
            </w:pPr>
            <w:r>
              <w:rPr>
                <w:rFonts w:ascii="宋体" w:hAnsi="宋体" w:eastAsia="宋体" w:cs="宋体"/>
                <w:b/>
                <w:bCs/>
                <w:color w:val="040404"/>
                <w:kern w:val="0"/>
                <w:sz w:val="24"/>
                <w:szCs w:val="21"/>
              </w:rPr>
              <w:t>各项贷款增速</w:t>
            </w:r>
            <w:r>
              <w:rPr>
                <w:rFonts w:hint="eastAsia" w:ascii="宋体" w:hAnsi="宋体" w:eastAsia="宋体" w:cs="宋体"/>
                <w:b/>
                <w:bCs/>
                <w:color w:val="040404"/>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48" w:type="pct"/>
            <w:vAlign w:val="center"/>
          </w:tcPr>
          <w:p>
            <w:pPr>
              <w:widowControl/>
              <w:spacing w:line="276" w:lineRule="auto"/>
              <w:jc w:val="left"/>
              <w:rPr>
                <w:rFonts w:ascii="宋体" w:hAnsi="宋体" w:eastAsia="宋体" w:cs="宋体"/>
                <w:color w:val="040404"/>
                <w:kern w:val="0"/>
                <w:sz w:val="24"/>
                <w:szCs w:val="21"/>
              </w:rPr>
            </w:pPr>
            <w:r>
              <w:rPr>
                <w:rFonts w:hint="eastAsia" w:ascii="宋体" w:hAnsi="宋体" w:eastAsia="宋体" w:cs="宋体"/>
                <w:color w:val="040404"/>
                <w:kern w:val="0"/>
                <w:sz w:val="24"/>
                <w:szCs w:val="21"/>
              </w:rPr>
              <w:t>2</w:t>
            </w:r>
            <w:r>
              <w:rPr>
                <w:rFonts w:ascii="宋体" w:hAnsi="宋体" w:eastAsia="宋体" w:cs="宋体"/>
                <w:color w:val="040404"/>
                <w:kern w:val="0"/>
                <w:sz w:val="24"/>
                <w:szCs w:val="21"/>
              </w:rPr>
              <w:t>020</w:t>
            </w:r>
          </w:p>
        </w:tc>
        <w:tc>
          <w:tcPr>
            <w:tcW w:w="675" w:type="pct"/>
            <w:vAlign w:val="center"/>
          </w:tcPr>
          <w:p>
            <w:pPr>
              <w:widowControl/>
              <w:spacing w:line="276" w:lineRule="auto"/>
              <w:jc w:val="left"/>
              <w:rPr>
                <w:rFonts w:ascii="宋体" w:hAnsi="宋体" w:eastAsia="宋体" w:cs="宋体"/>
                <w:color w:val="040404"/>
                <w:kern w:val="0"/>
                <w:sz w:val="24"/>
                <w:szCs w:val="21"/>
              </w:rPr>
            </w:pPr>
          </w:p>
        </w:tc>
        <w:tc>
          <w:tcPr>
            <w:tcW w:w="757" w:type="pct"/>
            <w:vAlign w:val="center"/>
          </w:tcPr>
          <w:p>
            <w:pPr>
              <w:widowControl/>
              <w:spacing w:line="276" w:lineRule="auto"/>
              <w:jc w:val="left"/>
              <w:rPr>
                <w:rFonts w:ascii="宋体" w:hAnsi="宋体" w:eastAsia="宋体" w:cs="宋体"/>
                <w:color w:val="040404"/>
                <w:kern w:val="0"/>
                <w:sz w:val="24"/>
                <w:szCs w:val="21"/>
              </w:rPr>
            </w:pPr>
          </w:p>
        </w:tc>
        <w:tc>
          <w:tcPr>
            <w:tcW w:w="1616" w:type="pct"/>
            <w:vAlign w:val="center"/>
          </w:tcPr>
          <w:p>
            <w:pPr>
              <w:widowControl/>
              <w:spacing w:line="276" w:lineRule="auto"/>
              <w:jc w:val="left"/>
              <w:rPr>
                <w:rFonts w:ascii="宋体" w:hAnsi="宋体" w:eastAsia="宋体" w:cs="宋体"/>
                <w:color w:val="040404"/>
                <w:kern w:val="0"/>
                <w:sz w:val="24"/>
                <w:szCs w:val="21"/>
              </w:rPr>
            </w:pPr>
          </w:p>
        </w:tc>
        <w:tc>
          <w:tcPr>
            <w:tcW w:w="0" w:type="auto"/>
            <w:vAlign w:val="center"/>
          </w:tcPr>
          <w:p>
            <w:pPr>
              <w:widowControl/>
              <w:spacing w:line="276" w:lineRule="auto"/>
              <w:jc w:val="left"/>
              <w:rPr>
                <w:rFonts w:hint="eastAsia" w:ascii="宋体" w:hAnsi="宋体" w:eastAsia="宋体" w:cs="宋体"/>
                <w:color w:val="040404"/>
                <w:kern w:val="0"/>
                <w:sz w:val="24"/>
                <w:szCs w:val="21"/>
              </w:rPr>
            </w:pPr>
            <w:r>
              <w:rPr>
                <w:rFonts w:hint="eastAsia" w:ascii="宋体" w:hAnsi="宋体" w:eastAsia="宋体" w:cs="宋体"/>
                <w:color w:val="040404"/>
                <w:kern w:val="0"/>
                <w:sz w:val="24"/>
                <w:szCs w:val="21"/>
              </w:rPr>
              <w:t>\</w:t>
            </w:r>
          </w:p>
        </w:tc>
        <w:tc>
          <w:tcPr>
            <w:tcW w:w="0" w:type="auto"/>
            <w:vAlign w:val="center"/>
          </w:tcPr>
          <w:p>
            <w:pPr>
              <w:widowControl/>
              <w:spacing w:line="276" w:lineRule="auto"/>
              <w:jc w:val="left"/>
              <w:rPr>
                <w:rFonts w:ascii="宋体" w:hAnsi="宋体" w:eastAsia="宋体" w:cs="宋体"/>
                <w:color w:val="040404"/>
                <w:kern w:val="0"/>
                <w:sz w:val="24"/>
                <w:szCs w:val="21"/>
              </w:rPr>
            </w:pPr>
            <w:r>
              <w:rPr>
                <w:rFonts w:hint="eastAsia" w:ascii="宋体" w:hAnsi="宋体" w:eastAsia="宋体" w:cs="宋体"/>
                <w:color w:val="040404"/>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48" w:type="pct"/>
            <w:vAlign w:val="center"/>
          </w:tcPr>
          <w:p>
            <w:pPr>
              <w:widowControl/>
              <w:spacing w:line="276" w:lineRule="auto"/>
              <w:jc w:val="left"/>
              <w:rPr>
                <w:rFonts w:ascii="宋体" w:hAnsi="宋体" w:eastAsia="宋体" w:cs="宋体"/>
                <w:color w:val="040404"/>
                <w:kern w:val="0"/>
                <w:sz w:val="24"/>
                <w:szCs w:val="21"/>
              </w:rPr>
            </w:pPr>
            <w:r>
              <w:rPr>
                <w:rFonts w:hint="eastAsia" w:ascii="宋体" w:hAnsi="宋体" w:eastAsia="宋体" w:cs="宋体"/>
                <w:color w:val="040404"/>
                <w:kern w:val="0"/>
                <w:sz w:val="24"/>
                <w:szCs w:val="21"/>
              </w:rPr>
              <w:t>2</w:t>
            </w:r>
            <w:r>
              <w:rPr>
                <w:rFonts w:ascii="宋体" w:hAnsi="宋体" w:eastAsia="宋体" w:cs="宋体"/>
                <w:color w:val="040404"/>
                <w:kern w:val="0"/>
                <w:sz w:val="24"/>
                <w:szCs w:val="21"/>
              </w:rPr>
              <w:t>021</w:t>
            </w:r>
          </w:p>
        </w:tc>
        <w:tc>
          <w:tcPr>
            <w:tcW w:w="675" w:type="pct"/>
            <w:vAlign w:val="center"/>
          </w:tcPr>
          <w:p>
            <w:pPr>
              <w:widowControl/>
              <w:spacing w:line="276" w:lineRule="auto"/>
              <w:jc w:val="left"/>
              <w:rPr>
                <w:rFonts w:ascii="宋体" w:hAnsi="宋体" w:eastAsia="宋体" w:cs="宋体"/>
                <w:color w:val="040404"/>
                <w:kern w:val="0"/>
                <w:sz w:val="24"/>
                <w:szCs w:val="21"/>
              </w:rPr>
            </w:pPr>
          </w:p>
        </w:tc>
        <w:tc>
          <w:tcPr>
            <w:tcW w:w="757" w:type="pct"/>
            <w:vAlign w:val="center"/>
          </w:tcPr>
          <w:p>
            <w:pPr>
              <w:widowControl/>
              <w:spacing w:line="276" w:lineRule="auto"/>
              <w:jc w:val="left"/>
              <w:rPr>
                <w:rFonts w:ascii="宋体" w:hAnsi="宋体" w:eastAsia="宋体" w:cs="宋体"/>
                <w:color w:val="040404"/>
                <w:kern w:val="0"/>
                <w:sz w:val="24"/>
                <w:szCs w:val="21"/>
              </w:rPr>
            </w:pPr>
          </w:p>
        </w:tc>
        <w:tc>
          <w:tcPr>
            <w:tcW w:w="1616" w:type="pct"/>
            <w:vAlign w:val="center"/>
          </w:tcPr>
          <w:p>
            <w:pPr>
              <w:widowControl/>
              <w:spacing w:line="276" w:lineRule="auto"/>
              <w:jc w:val="left"/>
              <w:rPr>
                <w:rFonts w:ascii="宋体" w:hAnsi="宋体" w:eastAsia="宋体" w:cs="宋体"/>
                <w:color w:val="040404"/>
                <w:kern w:val="0"/>
                <w:sz w:val="24"/>
                <w:szCs w:val="21"/>
              </w:rPr>
            </w:pPr>
          </w:p>
        </w:tc>
        <w:tc>
          <w:tcPr>
            <w:tcW w:w="0" w:type="auto"/>
            <w:vAlign w:val="center"/>
          </w:tcPr>
          <w:p>
            <w:pPr>
              <w:widowControl/>
              <w:spacing w:line="276" w:lineRule="auto"/>
              <w:jc w:val="left"/>
              <w:rPr>
                <w:rFonts w:ascii="宋体" w:hAnsi="宋体" w:eastAsia="宋体" w:cs="宋体"/>
                <w:color w:val="040404"/>
                <w:kern w:val="0"/>
                <w:sz w:val="24"/>
                <w:szCs w:val="21"/>
              </w:rPr>
            </w:pPr>
          </w:p>
        </w:tc>
        <w:tc>
          <w:tcPr>
            <w:tcW w:w="0" w:type="auto"/>
            <w:vAlign w:val="center"/>
          </w:tcPr>
          <w:p>
            <w:pPr>
              <w:widowControl/>
              <w:spacing w:line="276" w:lineRule="auto"/>
              <w:jc w:val="left"/>
              <w:rPr>
                <w:rFonts w:ascii="宋体" w:hAnsi="宋体" w:eastAsia="宋体" w:cs="宋体"/>
                <w:color w:val="040404"/>
                <w:kern w:val="0"/>
                <w:sz w:val="24"/>
                <w:szCs w:val="21"/>
              </w:rPr>
            </w:pPr>
          </w:p>
        </w:tc>
      </w:tr>
    </w:tbl>
    <w:p>
      <w:pPr>
        <w:rPr>
          <w:rFonts w:hint="eastAsia"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注：1</w:t>
      </w:r>
      <w:r>
        <w:rPr>
          <w:rFonts w:ascii="宋体" w:hAnsi="宋体" w:eastAsia="宋体"/>
          <w:sz w:val="28"/>
          <w:szCs w:val="28"/>
        </w:rPr>
        <w:t>.</w:t>
      </w:r>
      <w:r>
        <w:rPr>
          <w:rFonts w:hint="eastAsia" w:ascii="宋体" w:hAnsi="宋体" w:eastAsia="宋体"/>
          <w:sz w:val="28"/>
          <w:szCs w:val="28"/>
        </w:rPr>
        <w:t>以银保监局新口径统计</w:t>
      </w:r>
    </w:p>
    <w:p>
      <w:pPr>
        <w:rPr>
          <w:rFonts w:hint="eastAsia" w:ascii="仿宋_GB2312" w:hAnsi="仿宋_GB2312" w:eastAsia="仿宋_GB2312" w:cs="仿宋_GB2312"/>
          <w:sz w:val="32"/>
          <w:szCs w:val="32"/>
          <w:shd w:val="clear" w:color="auto" w:fill="FFFFFF"/>
        </w:rPr>
      </w:pPr>
      <w:r>
        <w:rPr>
          <w:rFonts w:hint="eastAsia" w:ascii="宋体" w:hAnsi="宋体" w:eastAsia="宋体"/>
          <w:sz w:val="28"/>
          <w:szCs w:val="28"/>
        </w:rPr>
        <w:t xml:space="preserve"> </w:t>
      </w:r>
      <w:r>
        <w:rPr>
          <w:rFonts w:ascii="宋体" w:hAnsi="宋体" w:eastAsia="宋体"/>
          <w:sz w:val="28"/>
          <w:szCs w:val="28"/>
        </w:rPr>
        <w:t xml:space="preserve">   2.</w:t>
      </w:r>
      <w:r>
        <w:rPr>
          <w:rFonts w:hint="eastAsia" w:ascii="宋体" w:hAnsi="宋体" w:eastAsia="宋体"/>
          <w:sz w:val="28"/>
          <w:szCs w:val="28"/>
        </w:rPr>
        <w:t>增速指年末较年初余额的增长幅度（%）</w:t>
      </w:r>
      <w:bookmarkEnd w:id="0"/>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1947CF"/>
    <w:rsid w:val="001671E0"/>
    <w:rsid w:val="001978DD"/>
    <w:rsid w:val="009C54C8"/>
    <w:rsid w:val="00A7672C"/>
    <w:rsid w:val="00AD696C"/>
    <w:rsid w:val="00C924B4"/>
    <w:rsid w:val="00CA1E18"/>
    <w:rsid w:val="00CD30DC"/>
    <w:rsid w:val="00DC4B42"/>
    <w:rsid w:val="042616FB"/>
    <w:rsid w:val="118F2212"/>
    <w:rsid w:val="1F8343DB"/>
    <w:rsid w:val="2975FACB"/>
    <w:rsid w:val="2B96ABED"/>
    <w:rsid w:val="2D4B09FD"/>
    <w:rsid w:val="37F9B519"/>
    <w:rsid w:val="451765DB"/>
    <w:rsid w:val="4A1947CF"/>
    <w:rsid w:val="4C5F19F3"/>
    <w:rsid w:val="59F63B32"/>
    <w:rsid w:val="5BDD6CD3"/>
    <w:rsid w:val="62B31D84"/>
    <w:rsid w:val="62D95205"/>
    <w:rsid w:val="66664CDC"/>
    <w:rsid w:val="6BD65636"/>
    <w:rsid w:val="6FDE90E6"/>
    <w:rsid w:val="6FF956F0"/>
    <w:rsid w:val="70944944"/>
    <w:rsid w:val="70C72A2F"/>
    <w:rsid w:val="7499158C"/>
    <w:rsid w:val="77C009E8"/>
    <w:rsid w:val="77EF26F3"/>
    <w:rsid w:val="7BF6584D"/>
    <w:rsid w:val="7D7F0384"/>
    <w:rsid w:val="7FFA85AA"/>
    <w:rsid w:val="8EE73064"/>
    <w:rsid w:val="CF9C2E8C"/>
    <w:rsid w:val="DFDF8CF1"/>
    <w:rsid w:val="EBDBD3B1"/>
    <w:rsid w:val="EF6F7C2E"/>
    <w:rsid w:val="EFFBDE75"/>
    <w:rsid w:val="F362766A"/>
    <w:rsid w:val="FBCBD9BE"/>
    <w:rsid w:val="FBFA7B46"/>
    <w:rsid w:val="FBFF7D2F"/>
    <w:rsid w:val="FEFFA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2">
    <w:name w:val="heading 2"/>
    <w:basedOn w:val="1"/>
    <w:next w:val="1"/>
    <w:semiHidden/>
    <w:unhideWhenUsed/>
    <w:qFormat/>
    <w:uiPriority w:val="0"/>
    <w:pPr>
      <w:keepNext/>
      <w:keepLines/>
      <w:spacing w:line="578" w:lineRule="exact"/>
      <w:ind w:firstLine="643" w:firstLineChars="200"/>
      <w:outlineLvl w:val="1"/>
    </w:pPr>
    <w:rPr>
      <w:rFonts w:ascii="Times New Roman" w:hAnsi="Times New Roman" w:eastAsia="楷体_GB2312" w:cs="Times New Roman"/>
      <w:b/>
    </w:rPr>
  </w:style>
  <w:style w:type="paragraph" w:styleId="4">
    <w:name w:val="heading 3"/>
    <w:basedOn w:val="1"/>
    <w:next w:val="1"/>
    <w:unhideWhenUsed/>
    <w:qFormat/>
    <w:uiPriority w:val="0"/>
    <w:pPr>
      <w:keepNext/>
      <w:keepLines/>
      <w:adjustRightInd w:val="0"/>
      <w:spacing w:before="120" w:after="120"/>
      <w:outlineLvl w:val="2"/>
    </w:pPr>
    <w:rPr>
      <w:rFonts w:eastAsia="楷体"/>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7"/>
    <w:qFormat/>
    <w:uiPriority w:val="0"/>
    <w:pPr>
      <w:ind w:left="100" w:leftChars="2500"/>
    </w:p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customStyle="1" w:styleId="14">
    <w:name w:val="页眉 字符"/>
    <w:basedOn w:val="12"/>
    <w:link w:val="7"/>
    <w:qFormat/>
    <w:uiPriority w:val="0"/>
    <w:rPr>
      <w:rFonts w:asciiTheme="minorHAnsi" w:hAnsiTheme="minorHAnsi" w:eastAsiaTheme="minorEastAsia" w:cstheme="minorBidi"/>
      <w:kern w:val="2"/>
      <w:sz w:val="18"/>
      <w:szCs w:val="18"/>
    </w:rPr>
  </w:style>
  <w:style w:type="character" w:customStyle="1" w:styleId="15">
    <w:name w:val="页脚 字符"/>
    <w:basedOn w:val="12"/>
    <w:link w:val="6"/>
    <w:qFormat/>
    <w:uiPriority w:val="0"/>
    <w:rPr>
      <w:rFonts w:asciiTheme="minorHAnsi" w:hAnsiTheme="minorHAnsi" w:eastAsiaTheme="minorEastAsia" w:cstheme="minorBidi"/>
      <w:kern w:val="2"/>
      <w:sz w:val="18"/>
      <w:szCs w:val="18"/>
    </w:rPr>
  </w:style>
  <w:style w:type="paragraph" w:customStyle="1" w:styleId="16">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7">
    <w:name w:val="日期 字符"/>
    <w:basedOn w:val="12"/>
    <w:link w:val="5"/>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260</Words>
  <Characters>1486</Characters>
  <Lines>12</Lines>
  <Paragraphs>3</Paragraphs>
  <TotalTime>0</TotalTime>
  <ScaleCrop>false</ScaleCrop>
  <LinksUpToDate>false</LinksUpToDate>
  <CharactersWithSpaces>1743</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2022-03-05T10:06:00Z</dcterms:created>
  <dc:creator>d</dc:creator>
  <cp:lastModifiedBy>chengjinwen</cp:lastModifiedBy>
  <dcterms:modified xsi:type="dcterms:W3CDTF">2022-03-21T10:03:23Z</dcterms:modified>
  <dc:title>市地方金融监管局关于启动绿色金融申报及存续管理工作的通知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B945E6523CA54B22B821ABC340E272CB</vt:lpwstr>
  </property>
</Properties>
</file>