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ind w:firstLine="883" w:firstLineChars="200"/>
        <w:jc w:val="center"/>
        <w:rPr>
          <w:rFonts w:asciiTheme="majorEastAsia" w:hAnsiTheme="majorEastAsia" w:eastAsiaTheme="majorEastAsia" w:cstheme="majorEastAsia"/>
          <w:b/>
          <w:bCs/>
          <w:color w:val="555555"/>
          <w:sz w:val="44"/>
          <w:szCs w:val="44"/>
        </w:rPr>
      </w:pPr>
    </w:p>
    <w:p>
      <w:pPr>
        <w:pStyle w:val="7"/>
        <w:spacing w:before="0" w:beforeAutospacing="0" w:after="0" w:afterAutospacing="0" w:line="560" w:lineRule="exact"/>
        <w:ind w:firstLine="883" w:firstLineChars="200"/>
        <w:jc w:val="center"/>
        <w:rPr>
          <w:rFonts w:asciiTheme="majorEastAsia" w:hAnsiTheme="majorEastAsia" w:eastAsiaTheme="majorEastAsia" w:cstheme="majorEastAsia"/>
          <w:b/>
          <w:bCs/>
          <w:color w:val="555555"/>
          <w:sz w:val="44"/>
          <w:szCs w:val="44"/>
        </w:rPr>
      </w:pPr>
    </w:p>
    <w:p>
      <w:pPr>
        <w:pStyle w:val="7"/>
        <w:spacing w:before="0" w:beforeAutospacing="0" w:after="0" w:afterAutospacing="0" w:line="560" w:lineRule="exact"/>
        <w:jc w:val="center"/>
        <w:rPr>
          <w:rFonts w:asciiTheme="majorEastAsia" w:hAnsiTheme="majorEastAsia" w:eastAsiaTheme="majorEastAsia" w:cstheme="majorEastAsia"/>
          <w:b/>
          <w:bCs/>
          <w:color w:val="555555"/>
          <w:sz w:val="44"/>
          <w:szCs w:val="44"/>
        </w:rPr>
      </w:pPr>
      <w:r>
        <w:rPr>
          <w:rFonts w:hint="eastAsia" w:asciiTheme="majorEastAsia" w:hAnsiTheme="majorEastAsia" w:eastAsiaTheme="majorEastAsia" w:cstheme="majorEastAsia"/>
          <w:b/>
          <w:bCs/>
          <w:color w:val="555555"/>
          <w:sz w:val="44"/>
          <w:szCs w:val="44"/>
        </w:rPr>
        <w:t>深圳市交易场所监督管理办法</w:t>
      </w:r>
    </w:p>
    <w:p>
      <w:pPr>
        <w:pStyle w:val="7"/>
        <w:spacing w:before="0" w:beforeAutospacing="0" w:after="0" w:afterAutospacing="0" w:line="560" w:lineRule="exact"/>
        <w:jc w:val="center"/>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（征求意见稿）</w:t>
      </w:r>
    </w:p>
    <w:p>
      <w:pPr>
        <w:pStyle w:val="7"/>
        <w:spacing w:before="0" w:beforeAutospacing="0" w:after="0" w:afterAutospacing="0" w:line="560" w:lineRule="exact"/>
        <w:ind w:firstLine="420" w:firstLineChars="200"/>
        <w:jc w:val="both"/>
        <w:rPr>
          <w:color w:val="555555"/>
          <w:sz w:val="21"/>
          <w:szCs w:val="21"/>
        </w:rPr>
      </w:pPr>
      <w:r>
        <w:rPr>
          <w:rFonts w:hint="eastAsia"/>
          <w:color w:val="555555"/>
          <w:sz w:val="21"/>
          <w:szCs w:val="21"/>
        </w:rPr>
        <w:t> </w:t>
      </w:r>
    </w:p>
    <w:p>
      <w:pPr>
        <w:pStyle w:val="7"/>
        <w:spacing w:before="0" w:beforeAutospacing="0" w:after="0" w:afterAutospacing="0" w:line="560" w:lineRule="exact"/>
        <w:jc w:val="center"/>
        <w:rPr>
          <w:rFonts w:ascii="华文仿宋" w:hAnsi="华文仿宋" w:eastAsia="华文仿宋" w:cs="华文仿宋"/>
          <w:b/>
          <w:bCs/>
          <w:color w:val="555555"/>
          <w:sz w:val="32"/>
          <w:szCs w:val="32"/>
        </w:rPr>
      </w:pPr>
      <w:r>
        <w:rPr>
          <w:rFonts w:hint="eastAsia" w:ascii="华文仿宋" w:hAnsi="华文仿宋" w:eastAsia="华文仿宋" w:cs="华文仿宋"/>
          <w:b/>
          <w:bCs/>
          <w:color w:val="555555"/>
          <w:sz w:val="32"/>
          <w:szCs w:val="32"/>
        </w:rPr>
        <w:t>第一章 总 则</w:t>
      </w:r>
    </w:p>
    <w:p>
      <w:pPr>
        <w:pStyle w:val="7"/>
        <w:spacing w:before="0" w:beforeAutospacing="0" w:after="0" w:afterAutospacing="0" w:line="560" w:lineRule="exact"/>
        <w:jc w:val="center"/>
        <w:rPr>
          <w:rFonts w:ascii="华文仿宋" w:hAnsi="华文仿宋" w:eastAsia="华文仿宋" w:cs="华文仿宋"/>
          <w:b/>
          <w:bCs/>
          <w:color w:val="555555"/>
          <w:sz w:val="32"/>
          <w:szCs w:val="32"/>
        </w:rPr>
      </w:pP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第一条【目的】</w:t>
      </w:r>
      <w:r>
        <w:rPr>
          <w:rFonts w:hint="eastAsia" w:ascii="仿宋_GB2312" w:hAnsi="仿宋_GB2312" w:eastAsia="仿宋_GB2312" w:cs="仿宋_GB2312"/>
          <w:color w:val="555555"/>
          <w:sz w:val="32"/>
          <w:szCs w:val="32"/>
        </w:rPr>
        <w:t>为规范本市交易场所行为，增强服务实体经济能力，防范化解金融风险，促进交易场所持续健康发展，根据有关法律法规及《国务院关于清理整顿各类交易场所切实防范金融风险的决定》（国发〔2011〕38号）、《国务院办公厅关于清理整顿各类交易场所的实施意见》（国办发〔2012〕37号）等规定，结合本市实际，</w:t>
      </w:r>
      <w:r>
        <w:rPr>
          <w:rFonts w:ascii="仿宋_GB2312" w:hAnsi="仿宋_GB2312" w:eastAsia="仿宋_GB2312" w:cs="仿宋_GB2312"/>
          <w:color w:val="555555"/>
          <w:sz w:val="32"/>
          <w:szCs w:val="32"/>
        </w:rPr>
        <w:t>制定本办法。</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第二条【规制范围】</w:t>
      </w:r>
      <w:r>
        <w:rPr>
          <w:rStyle w:val="11"/>
          <w:rFonts w:hint="eastAsia" w:ascii="仿宋_GB2312" w:hAnsi="仿宋_GB2312" w:eastAsia="仿宋_GB2312" w:cs="仿宋_GB2312"/>
          <w:color w:val="555555"/>
          <w:sz w:val="32"/>
          <w:szCs w:val="32"/>
        </w:rPr>
        <w:t> </w:t>
      </w:r>
      <w:r>
        <w:rPr>
          <w:rFonts w:hint="eastAsia" w:ascii="仿宋_GB2312" w:hAnsi="仿宋_GB2312" w:eastAsia="仿宋_GB2312" w:cs="仿宋_GB2312"/>
          <w:color w:val="555555"/>
          <w:sz w:val="32"/>
          <w:szCs w:val="32"/>
        </w:rPr>
        <w:t>本办法所称交易场所，是指在本市行政区域内，根据法律法规和监管规定，经市人民政府同意设立或者保留的，从事权益类或者大宗商品现货类等交易，并在名称中含“交易所”“交易中心”字样的交易场所。仅从事车辆、房地产等实物交易的交易场所，依法经批准设立的证券、期货交易</w:t>
      </w:r>
      <w:r>
        <w:rPr>
          <w:rFonts w:hint="eastAsia" w:ascii="仿宋_GB2312" w:hAnsi="仿宋_GB2312" w:eastAsia="仿宋_GB2312" w:cs="仿宋_GB2312"/>
          <w:color w:val="555555"/>
          <w:sz w:val="32"/>
          <w:szCs w:val="32"/>
          <w:highlight w:val="none"/>
        </w:rPr>
        <w:t>所，以及国务院或国务院金融管理部门批</w:t>
      </w:r>
      <w:r>
        <w:rPr>
          <w:rFonts w:hint="eastAsia" w:ascii="仿宋_GB2312" w:hAnsi="仿宋_GB2312" w:eastAsia="仿宋_GB2312" w:cs="仿宋_GB2312"/>
          <w:color w:val="555555"/>
          <w:sz w:val="32"/>
          <w:szCs w:val="32"/>
        </w:rPr>
        <w:t>准设立的从事金融产品交易的交易场所除外。</w:t>
      </w:r>
      <w:r>
        <w:rPr>
          <w:rFonts w:hint="eastAsia" w:ascii="仿宋_GB2312" w:hAnsi="仿宋_GB2312" w:eastAsia="仿宋_GB2312" w:cs="仿宋_GB2312"/>
          <w:color w:val="555555"/>
          <w:sz w:val="32"/>
          <w:szCs w:val="32"/>
          <w:lang w:eastAsia="zh-CN"/>
        </w:rPr>
        <w:t>国有产权、</w:t>
      </w:r>
      <w:r>
        <w:rPr>
          <w:rFonts w:hint="eastAsia" w:ascii="仿宋_GB2312" w:hAnsi="仿宋_GB2312" w:eastAsia="仿宋_GB2312" w:cs="仿宋_GB2312"/>
          <w:color w:val="555555"/>
          <w:sz w:val="32"/>
          <w:szCs w:val="32"/>
        </w:rPr>
        <w:t>区域股权、公共资源等领域交易场所的设立、运营、变更、终止和监管，相关法律法规及政策文件另有规定的，从其规定。</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外省市交易场所在本市设立分支机构，适用本办法。</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交易场所的会员、代理商、授权服务机构等，比照分支机构管理。</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第三条【联席会议】</w:t>
      </w:r>
      <w:r>
        <w:rPr>
          <w:rFonts w:hint="eastAsia" w:ascii="仿宋_GB2312" w:hAnsi="仿宋_GB2312" w:eastAsia="仿宋_GB2312" w:cs="仿宋_GB2312"/>
          <w:color w:val="555555"/>
          <w:sz w:val="32"/>
          <w:szCs w:val="32"/>
        </w:rPr>
        <w:t>建立深圳市交易场所监督管理联席会议（以下简称联席会议）制度，联席会议由市委宣传部、市委编办、市委网信办、市发展改革委、市科技创新委、市工业和信息化局、市公安局、市司法局、市生态环境局、市商务局、市文化广电旅游体育局、市国资委、市市场</w:t>
      </w:r>
      <w:r>
        <w:rPr>
          <w:rFonts w:hint="eastAsia" w:ascii="仿宋_GB2312" w:hAnsi="仿宋_GB2312" w:eastAsia="仿宋_GB2312" w:cs="仿宋_GB2312"/>
          <w:color w:val="555555"/>
          <w:sz w:val="32"/>
          <w:szCs w:val="32"/>
          <w:lang w:eastAsia="zh-CN"/>
        </w:rPr>
        <w:t>监管</w:t>
      </w:r>
      <w:r>
        <w:rPr>
          <w:rFonts w:hint="eastAsia" w:ascii="仿宋_GB2312" w:hAnsi="仿宋_GB2312" w:eastAsia="仿宋_GB2312" w:cs="仿宋_GB2312"/>
          <w:color w:val="555555"/>
          <w:sz w:val="32"/>
          <w:szCs w:val="32"/>
        </w:rPr>
        <w:t>局、市地方金融监管局、市通信管理局、前海</w:t>
      </w:r>
      <w:r>
        <w:rPr>
          <w:rFonts w:hint="eastAsia" w:ascii="仿宋_GB2312" w:hAnsi="仿宋_GB2312" w:eastAsia="仿宋_GB2312" w:cs="仿宋_GB2312"/>
          <w:color w:val="555555"/>
          <w:sz w:val="32"/>
          <w:szCs w:val="32"/>
          <w:lang w:eastAsia="zh-CN"/>
        </w:rPr>
        <w:t>地方金融监管</w:t>
      </w:r>
      <w:r>
        <w:rPr>
          <w:rFonts w:hint="eastAsia" w:ascii="仿宋_GB2312" w:hAnsi="仿宋_GB2312" w:eastAsia="仿宋_GB2312" w:cs="仿宋_GB2312"/>
          <w:color w:val="555555"/>
          <w:sz w:val="32"/>
          <w:szCs w:val="32"/>
        </w:rPr>
        <w:t>局、人民银行深圳市中心支行、深圳银保监局、深圳证监局等有关单位组成。联席会议召集人由</w:t>
      </w:r>
      <w:r>
        <w:rPr>
          <w:rFonts w:hint="eastAsia" w:ascii="仿宋_GB2312" w:hAnsi="仿宋_GB2312" w:eastAsia="仿宋_GB2312" w:cs="仿宋_GB2312"/>
          <w:color w:val="555555"/>
          <w:sz w:val="32"/>
          <w:szCs w:val="32"/>
          <w:lang w:eastAsia="zh-CN"/>
        </w:rPr>
        <w:t>分管金融</w:t>
      </w:r>
      <w:r>
        <w:rPr>
          <w:rFonts w:hint="eastAsia" w:ascii="仿宋_GB2312" w:hAnsi="仿宋_GB2312" w:eastAsia="仿宋_GB2312" w:cs="仿宋_GB2312"/>
          <w:color w:val="555555"/>
          <w:sz w:val="32"/>
          <w:szCs w:val="32"/>
        </w:rPr>
        <w:t>市</w:t>
      </w:r>
      <w:r>
        <w:rPr>
          <w:rFonts w:hint="eastAsia" w:ascii="仿宋_GB2312" w:hAnsi="仿宋_GB2312" w:eastAsia="仿宋_GB2312" w:cs="仿宋_GB2312"/>
          <w:color w:val="555555"/>
          <w:sz w:val="32"/>
          <w:szCs w:val="32"/>
          <w:lang w:eastAsia="zh-CN"/>
        </w:rPr>
        <w:t>领导</w:t>
      </w:r>
      <w:r>
        <w:rPr>
          <w:rFonts w:hint="eastAsia" w:ascii="仿宋_GB2312" w:hAnsi="仿宋_GB2312" w:eastAsia="仿宋_GB2312" w:cs="仿宋_GB2312"/>
          <w:color w:val="555555"/>
          <w:sz w:val="32"/>
          <w:szCs w:val="32"/>
        </w:rPr>
        <w:t>担任，各成员单位相关负责人为联席会议成员。联席会议可根据工作需要，邀请市政府相关部门参加。联席会议办公室设在市地方金融监管局。</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联席会议不代替市级行业主管部门和各区政府履行监督管理职责。</w:t>
      </w:r>
    </w:p>
    <w:p>
      <w:pPr>
        <w:pStyle w:val="7"/>
        <w:spacing w:before="0" w:beforeAutospacing="0" w:after="0" w:afterAutospacing="0" w:line="560" w:lineRule="exact"/>
        <w:ind w:firstLine="643" w:firstLineChars="200"/>
        <w:rPr>
          <w:rFonts w:hint="eastAsia" w:ascii="仿宋_GB2312" w:hAnsi="仿宋_GB2312" w:eastAsia="仿宋_GB2312" w:cs="仿宋_GB2312"/>
          <w:color w:val="555555"/>
          <w:sz w:val="32"/>
          <w:szCs w:val="32"/>
          <w:lang w:eastAsia="zh-CN"/>
        </w:rPr>
      </w:pPr>
      <w:r>
        <w:rPr>
          <w:rFonts w:hint="eastAsia" w:ascii="仿宋_GB2312" w:hAnsi="仿宋_GB2312" w:eastAsia="仿宋_GB2312" w:cs="仿宋_GB2312"/>
          <w:b/>
          <w:bCs/>
          <w:color w:val="555555"/>
          <w:sz w:val="32"/>
          <w:szCs w:val="32"/>
        </w:rPr>
        <w:t>第四条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b/>
          <w:bCs/>
          <w:color w:val="555555"/>
          <w:sz w:val="32"/>
          <w:szCs w:val="32"/>
        </w:rPr>
        <w:t>监管分工及属地管理</w:t>
      </w:r>
      <w:r>
        <w:rPr>
          <w:rFonts w:hint="eastAsia" w:ascii="仿宋_GB2312" w:hAnsi="仿宋_GB2312" w:eastAsia="仿宋_GB2312" w:cs="仿宋_GB2312"/>
          <w:color w:val="555555"/>
          <w:sz w:val="32"/>
          <w:szCs w:val="32"/>
        </w:rPr>
        <w:t>】市级行业主管部门作为本行业交易场所的监管部门，履行监管责任。市级行业主管部门要明确内部机构和人员，加强</w:t>
      </w:r>
      <w:r>
        <w:rPr>
          <w:rFonts w:hint="eastAsia" w:ascii="仿宋_GB2312" w:hAnsi="仿宋_GB2312" w:eastAsia="仿宋_GB2312" w:cs="仿宋_GB2312"/>
          <w:color w:val="555555"/>
          <w:sz w:val="32"/>
          <w:szCs w:val="32"/>
          <w:lang w:eastAsia="zh-CN"/>
        </w:rPr>
        <w:t>事前</w:t>
      </w:r>
      <w:r>
        <w:rPr>
          <w:rFonts w:hint="eastAsia" w:ascii="仿宋_GB2312" w:hAnsi="仿宋_GB2312" w:eastAsia="仿宋_GB2312" w:cs="仿宋_GB2312"/>
          <w:color w:val="555555"/>
          <w:sz w:val="32"/>
          <w:szCs w:val="32"/>
        </w:rPr>
        <w:t>事中事后监管。国家相关部委明确其行业监管职责的，由市级相关部门对应承接。市</w:t>
      </w:r>
      <w:r>
        <w:rPr>
          <w:rFonts w:hint="eastAsia" w:ascii="仿宋_GB2312" w:hAnsi="仿宋_GB2312" w:eastAsia="仿宋_GB2312" w:cs="仿宋_GB2312"/>
          <w:color w:val="555555"/>
          <w:sz w:val="32"/>
          <w:szCs w:val="32"/>
          <w:lang w:eastAsia="zh-CN"/>
        </w:rPr>
        <w:t>宣传文化、国资、生态环境等部门</w:t>
      </w:r>
      <w:r>
        <w:rPr>
          <w:rFonts w:hint="eastAsia" w:ascii="仿宋_GB2312" w:hAnsi="仿宋_GB2312" w:eastAsia="仿宋_GB2312" w:cs="仿宋_GB2312"/>
          <w:color w:val="555555"/>
          <w:sz w:val="32"/>
          <w:szCs w:val="32"/>
        </w:rPr>
        <w:t>分别负责文化产权、国有产权、</w:t>
      </w:r>
      <w:r>
        <w:rPr>
          <w:rFonts w:hint="eastAsia" w:ascii="仿宋_GB2312" w:hAnsi="仿宋_GB2312" w:eastAsia="仿宋_GB2312" w:cs="仿宋_GB2312"/>
          <w:color w:val="555555"/>
          <w:sz w:val="32"/>
          <w:szCs w:val="32"/>
          <w:lang w:eastAsia="zh-CN"/>
        </w:rPr>
        <w:t>环境权益等</w:t>
      </w:r>
      <w:r>
        <w:rPr>
          <w:rFonts w:hint="eastAsia" w:ascii="仿宋_GB2312" w:hAnsi="仿宋_GB2312" w:eastAsia="仿宋_GB2312" w:cs="仿宋_GB2312"/>
          <w:color w:val="555555"/>
          <w:sz w:val="32"/>
          <w:szCs w:val="32"/>
        </w:rPr>
        <w:t>交易场所日常监管。</w:t>
      </w:r>
      <w:r>
        <w:rPr>
          <w:rFonts w:hint="eastAsia" w:ascii="仿宋_GB2312" w:hAnsi="仿宋_GB2312" w:eastAsia="仿宋_GB2312" w:cs="仿宋_GB2312"/>
          <w:color w:val="555555"/>
          <w:sz w:val="32"/>
          <w:szCs w:val="32"/>
          <w:lang w:eastAsia="zh-CN"/>
        </w:rPr>
        <w:t>前海地方金融监管局</w:t>
      </w:r>
      <w:r>
        <w:rPr>
          <w:rFonts w:hint="eastAsia" w:ascii="仿宋_GB2312" w:hAnsi="仿宋_GB2312" w:eastAsia="仿宋_GB2312" w:cs="仿宋_GB2312"/>
          <w:color w:val="555555"/>
          <w:sz w:val="32"/>
          <w:szCs w:val="32"/>
        </w:rPr>
        <w:t>负责前海蛇口自贸片区各类交易场所</w:t>
      </w:r>
      <w:r>
        <w:rPr>
          <w:rFonts w:hint="eastAsia" w:ascii="仿宋_GB2312" w:hAnsi="仿宋_GB2312" w:eastAsia="仿宋_GB2312" w:cs="仿宋_GB2312"/>
          <w:color w:val="555555"/>
          <w:sz w:val="32"/>
          <w:szCs w:val="32"/>
          <w:lang w:eastAsia="zh-CN"/>
        </w:rPr>
        <w:t>日常监管。新设其他类别交易场所的，由联席会议根据交易场所的功能定位、行业规划、交易品种属性等，确定权责匹配的市级行业主管部门。</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各区政府履行交易场所属地管理和风险处置职责，指定区相关部门按照“业务归口、上下协同”要求，配合做好属地非法交易场所的</w:t>
      </w:r>
      <w:r>
        <w:rPr>
          <w:rFonts w:ascii="仿宋_GB2312" w:hAnsi="仿宋_GB2312" w:eastAsia="仿宋_GB2312" w:cs="仿宋_GB2312"/>
          <w:color w:val="555555"/>
          <w:sz w:val="32"/>
          <w:szCs w:val="32"/>
        </w:rPr>
        <w:t>清理和维稳</w:t>
      </w:r>
      <w:r>
        <w:rPr>
          <w:rFonts w:hint="eastAsia" w:ascii="仿宋_GB2312" w:hAnsi="仿宋_GB2312" w:eastAsia="仿宋_GB2312" w:cs="仿宋_GB2312"/>
          <w:color w:val="555555"/>
          <w:sz w:val="32"/>
          <w:szCs w:val="32"/>
        </w:rPr>
        <w:t>工作。</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第五条【经营原则】</w:t>
      </w:r>
      <w:r>
        <w:rPr>
          <w:rFonts w:hint="eastAsia" w:ascii="仿宋_GB2312" w:hAnsi="仿宋_GB2312" w:eastAsia="仿宋_GB2312" w:cs="仿宋_GB2312"/>
          <w:color w:val="555555"/>
          <w:sz w:val="32"/>
          <w:szCs w:val="32"/>
        </w:rPr>
        <w:t>交易场所应当依法合规、诚实守信经营，坚持公开、公平、公正，风险可控和服务实体经济原则，坚持市场化、法治化运作，自主经营、自负盈亏、自担风险、自我约束，充分保障交易各方合法权益，积极履行社会责任。</w:t>
      </w:r>
    </w:p>
    <w:p>
      <w:pPr>
        <w:pStyle w:val="7"/>
        <w:spacing w:before="0" w:beforeAutospacing="0" w:after="0" w:afterAutospacing="0" w:line="560" w:lineRule="exact"/>
        <w:ind w:firstLine="643" w:firstLineChars="200"/>
        <w:jc w:val="center"/>
        <w:rPr>
          <w:rFonts w:ascii="仿宋_GB2312" w:hAnsi="仿宋_GB2312" w:eastAsia="仿宋_GB2312" w:cs="仿宋_GB2312"/>
          <w:b/>
          <w:bCs/>
          <w:color w:val="555555"/>
          <w:sz w:val="32"/>
          <w:szCs w:val="32"/>
        </w:rPr>
      </w:pPr>
    </w:p>
    <w:p>
      <w:pPr>
        <w:pStyle w:val="7"/>
        <w:spacing w:before="0" w:beforeAutospacing="0" w:after="0" w:afterAutospacing="0" w:line="560" w:lineRule="exact"/>
        <w:jc w:val="center"/>
        <w:rPr>
          <w:rFonts w:ascii="仿宋_GB2312" w:hAnsi="仿宋_GB2312" w:eastAsia="仿宋_GB2312" w:cs="仿宋_GB2312"/>
          <w:b/>
          <w:bCs/>
          <w:color w:val="555555"/>
          <w:sz w:val="32"/>
          <w:szCs w:val="32"/>
        </w:rPr>
      </w:pPr>
      <w:r>
        <w:rPr>
          <w:rFonts w:hint="eastAsia" w:ascii="仿宋_GB2312" w:hAnsi="仿宋_GB2312" w:eastAsia="仿宋_GB2312" w:cs="仿宋_GB2312"/>
          <w:b/>
          <w:bCs/>
          <w:color w:val="555555"/>
          <w:sz w:val="32"/>
          <w:szCs w:val="32"/>
        </w:rPr>
        <w:t>第二章 设立、变更和终止</w:t>
      </w:r>
    </w:p>
    <w:p>
      <w:pPr>
        <w:pStyle w:val="7"/>
        <w:spacing w:before="0" w:beforeAutospacing="0" w:after="0" w:afterAutospacing="0" w:line="560" w:lineRule="exact"/>
        <w:jc w:val="center"/>
        <w:rPr>
          <w:rFonts w:ascii="仿宋_GB2312" w:hAnsi="仿宋_GB2312" w:eastAsia="仿宋_GB2312" w:cs="仿宋_GB2312"/>
          <w:b/>
          <w:bCs/>
          <w:color w:val="555555"/>
          <w:sz w:val="32"/>
          <w:szCs w:val="32"/>
        </w:rPr>
      </w:pP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第六条【设立原则】</w:t>
      </w:r>
      <w:r>
        <w:rPr>
          <w:rFonts w:hint="eastAsia" w:ascii="仿宋_GB2312" w:hAnsi="仿宋_GB2312" w:eastAsia="仿宋_GB2312" w:cs="仿宋_GB2312"/>
          <w:color w:val="555555"/>
          <w:sz w:val="32"/>
          <w:szCs w:val="32"/>
        </w:rPr>
        <w:t>本市按照“总量控制、审慎审批、合理布局”的原则，统筹规划本市交易场所的数量规模和功能布局，审慎批准设立交易场所。原则上，同类交易场所只设一家。</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第七条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b/>
          <w:bCs/>
          <w:color w:val="555555"/>
          <w:sz w:val="32"/>
          <w:szCs w:val="32"/>
        </w:rPr>
        <w:t>前置条件</w:t>
      </w:r>
      <w:r>
        <w:rPr>
          <w:rFonts w:hint="eastAsia" w:ascii="仿宋_GB2312" w:hAnsi="仿宋_GB2312" w:eastAsia="仿宋_GB2312" w:cs="仿宋_GB2312"/>
          <w:color w:val="555555"/>
          <w:sz w:val="32"/>
          <w:szCs w:val="32"/>
        </w:rPr>
        <w:t>】新设立交易场所，须按规定程序报</w:t>
      </w:r>
      <w:r>
        <w:rPr>
          <w:rFonts w:hint="eastAsia" w:ascii="仿宋_GB2312" w:hAnsi="仿宋_GB2312" w:eastAsia="仿宋_GB2312" w:cs="仿宋_GB2312"/>
          <w:color w:val="555555"/>
          <w:sz w:val="32"/>
          <w:szCs w:val="32"/>
          <w:lang w:eastAsia="zh-CN"/>
        </w:rPr>
        <w:t>市</w:t>
      </w:r>
      <w:r>
        <w:rPr>
          <w:rFonts w:hint="eastAsia" w:ascii="仿宋_GB2312" w:hAnsi="仿宋_GB2312" w:eastAsia="仿宋_GB2312" w:cs="仿宋_GB2312"/>
          <w:color w:val="555555"/>
          <w:sz w:val="32"/>
          <w:szCs w:val="32"/>
        </w:rPr>
        <w:t>人民政府批准。需报国家批准的，由</w:t>
      </w:r>
      <w:r>
        <w:rPr>
          <w:rFonts w:hint="eastAsia" w:ascii="仿宋_GB2312" w:hAnsi="仿宋_GB2312" w:eastAsia="仿宋_GB2312" w:cs="仿宋_GB2312"/>
          <w:color w:val="555555"/>
          <w:sz w:val="32"/>
          <w:szCs w:val="32"/>
          <w:lang w:eastAsia="zh-CN"/>
        </w:rPr>
        <w:t>市</w:t>
      </w:r>
      <w:r>
        <w:rPr>
          <w:rFonts w:hint="eastAsia" w:ascii="仿宋_GB2312" w:hAnsi="仿宋_GB2312" w:eastAsia="仿宋_GB2312" w:cs="仿宋_GB2312"/>
          <w:color w:val="555555"/>
          <w:sz w:val="32"/>
          <w:szCs w:val="32"/>
        </w:rPr>
        <w:t>级</w:t>
      </w:r>
      <w:r>
        <w:rPr>
          <w:rFonts w:hint="eastAsia" w:ascii="仿宋_GB2312" w:hAnsi="仿宋_GB2312" w:eastAsia="仿宋_GB2312" w:cs="仿宋_GB2312"/>
          <w:color w:val="555555"/>
          <w:sz w:val="32"/>
          <w:szCs w:val="32"/>
          <w:lang w:eastAsia="zh-CN"/>
        </w:rPr>
        <w:t>行业主管</w:t>
      </w:r>
      <w:r>
        <w:rPr>
          <w:rFonts w:hint="eastAsia" w:ascii="仿宋_GB2312" w:hAnsi="仿宋_GB2312" w:eastAsia="仿宋_GB2312" w:cs="仿宋_GB2312"/>
          <w:color w:val="555555"/>
          <w:sz w:val="32"/>
          <w:szCs w:val="32"/>
        </w:rPr>
        <w:t>部门提请</w:t>
      </w:r>
      <w:r>
        <w:rPr>
          <w:rFonts w:hint="eastAsia" w:ascii="仿宋_GB2312" w:hAnsi="仿宋_GB2312" w:eastAsia="仿宋_GB2312" w:cs="仿宋_GB2312"/>
          <w:color w:val="555555"/>
          <w:sz w:val="32"/>
          <w:szCs w:val="32"/>
          <w:lang w:eastAsia="zh-CN"/>
        </w:rPr>
        <w:t>市</w:t>
      </w:r>
      <w:r>
        <w:rPr>
          <w:rFonts w:hint="eastAsia" w:ascii="仿宋_GB2312" w:hAnsi="仿宋_GB2312" w:eastAsia="仿宋_GB2312" w:cs="仿宋_GB2312"/>
          <w:color w:val="555555"/>
          <w:sz w:val="32"/>
          <w:szCs w:val="32"/>
        </w:rPr>
        <w:t>人民政府按程序报批。未经批准，任何单位或个人不得设立交易场所，不得在公司名称中使用“交易所”“交易中心”等字样</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不得以任何形式组织交易场所的交易及其相关活动。</w:t>
      </w:r>
    </w:p>
    <w:p>
      <w:pPr>
        <w:pStyle w:val="7"/>
        <w:spacing w:before="0" w:beforeAutospacing="0" w:after="0" w:afterAutospacing="0" w:line="560" w:lineRule="exact"/>
        <w:ind w:firstLine="643"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第八条【清整要求】</w:t>
      </w:r>
      <w:r>
        <w:rPr>
          <w:rFonts w:hint="eastAsia" w:ascii="仿宋_GB2312" w:hAnsi="仿宋_GB2312" w:eastAsia="仿宋_GB2312" w:cs="仿宋_GB2312"/>
          <w:b w:val="0"/>
          <w:bCs w:val="0"/>
          <w:color w:val="555555"/>
          <w:sz w:val="32"/>
          <w:szCs w:val="32"/>
        </w:rPr>
        <w:t>按照清理整顿各类交易场所部级联席会议部署，</w:t>
      </w:r>
      <w:r>
        <w:rPr>
          <w:rFonts w:hint="eastAsia" w:ascii="仿宋_GB2312" w:hAnsi="仿宋_GB2312" w:eastAsia="仿宋_GB2312" w:cs="仿宋_GB2312"/>
          <w:b w:val="0"/>
          <w:bCs w:val="0"/>
          <w:color w:val="555555"/>
          <w:sz w:val="32"/>
          <w:szCs w:val="32"/>
          <w:lang w:eastAsia="zh-CN"/>
        </w:rPr>
        <w:t>在本市</w:t>
      </w:r>
      <w:r>
        <w:rPr>
          <w:rFonts w:hint="eastAsia" w:ascii="仿宋_GB2312" w:hAnsi="仿宋_GB2312" w:eastAsia="仿宋_GB2312" w:cs="仿宋_GB2312"/>
          <w:color w:val="555555"/>
          <w:sz w:val="32"/>
          <w:szCs w:val="32"/>
        </w:rPr>
        <w:t>清理整顿</w:t>
      </w:r>
      <w:r>
        <w:rPr>
          <w:rFonts w:hint="eastAsia" w:ascii="仿宋_GB2312" w:hAnsi="仿宋_GB2312" w:eastAsia="仿宋_GB2312" w:cs="仿宋_GB2312"/>
          <w:color w:val="555555"/>
          <w:sz w:val="32"/>
          <w:szCs w:val="32"/>
          <w:lang w:eastAsia="zh-CN"/>
        </w:rPr>
        <w:t>各类交易场所</w:t>
      </w:r>
      <w:r>
        <w:rPr>
          <w:rFonts w:hint="eastAsia" w:ascii="仿宋_GB2312" w:hAnsi="仿宋_GB2312" w:eastAsia="仿宋_GB2312" w:cs="仿宋_GB2312"/>
          <w:color w:val="555555"/>
          <w:sz w:val="32"/>
          <w:szCs w:val="32"/>
        </w:rPr>
        <w:t>工作完成前，原则上不新设立交易场所。确有必要新设立交易场所的，由市政府征求清理整顿各类交易场所部际联席会议意见后按规定审批。</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第九条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b/>
          <w:bCs/>
          <w:color w:val="555555"/>
          <w:sz w:val="32"/>
          <w:szCs w:val="32"/>
        </w:rPr>
        <w:t>名称规范】</w:t>
      </w:r>
      <w:r>
        <w:rPr>
          <w:rFonts w:hint="eastAsia" w:ascii="仿宋_GB2312" w:hAnsi="仿宋_GB2312" w:eastAsia="仿宋_GB2312" w:cs="仿宋_GB2312"/>
          <w:color w:val="555555"/>
          <w:sz w:val="32"/>
          <w:szCs w:val="32"/>
        </w:rPr>
        <w:t>交易场所的经营范围应当与其名称保持一致。名称中使用“交易所”字样的，市政府批准前，应当征求清理整顿各类交易场所部际联席会议意见。</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第十条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b/>
          <w:bCs/>
          <w:color w:val="555555"/>
          <w:sz w:val="32"/>
          <w:szCs w:val="32"/>
        </w:rPr>
        <w:t>设立条件</w:t>
      </w:r>
      <w:r>
        <w:rPr>
          <w:rFonts w:hint="eastAsia" w:ascii="仿宋_GB2312" w:hAnsi="仿宋_GB2312" w:eastAsia="仿宋_GB2312" w:cs="仿宋_GB2312"/>
          <w:color w:val="555555"/>
          <w:sz w:val="32"/>
          <w:szCs w:val="32"/>
        </w:rPr>
        <w:t>】新设交易场所，原则上应当采取公司制组织形式，除符合《中华人民共和国公司法》规定外，还应当具备下列条件：</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（一）注册资本应当满足经营活动和风险处置需要</w:t>
      </w:r>
      <w:r>
        <w:rPr>
          <w:rFonts w:hint="eastAsia" w:ascii="仿宋_GB2312" w:hAnsi="仿宋_GB2312" w:eastAsia="仿宋_GB2312" w:cs="仿宋_GB2312"/>
          <w:color w:val="555555"/>
          <w:sz w:val="32"/>
          <w:szCs w:val="32"/>
          <w:lang w:eastAsia="zh-CN"/>
        </w:rPr>
        <w:t>，并实缴到位</w:t>
      </w:r>
      <w:r>
        <w:rPr>
          <w:rFonts w:hint="eastAsia" w:ascii="仿宋_GB2312" w:hAnsi="仿宋_GB2312" w:eastAsia="仿宋_GB2312" w:cs="仿宋_GB2312"/>
          <w:color w:val="555555"/>
          <w:sz w:val="32"/>
          <w:szCs w:val="32"/>
        </w:rPr>
        <w:t>；</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二）交易场所的出资人应当具备较强的资本实力和风险承受能力，且在相关行业处于领先或优势地位；具有完善的法人治理结构和健全的内部控制制度；具有良好的社会声誉和诚信记录；入股资金来源真实合法，不得以借贷资金入股，不得以他人委托资金入股；</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（三）有</w:t>
      </w:r>
      <w:r>
        <w:rPr>
          <w:rFonts w:hint="eastAsia" w:ascii="仿宋_GB2312" w:hAnsi="仿宋_GB2312" w:eastAsia="仿宋_GB2312" w:cs="仿宋_GB2312"/>
          <w:color w:val="555555"/>
          <w:sz w:val="32"/>
          <w:szCs w:val="32"/>
          <w:lang w:eastAsia="zh-CN"/>
        </w:rPr>
        <w:t>具备相应任职</w:t>
      </w:r>
      <w:r>
        <w:rPr>
          <w:rFonts w:hint="eastAsia" w:ascii="仿宋_GB2312" w:hAnsi="仿宋_GB2312" w:eastAsia="仿宋_GB2312" w:cs="仿宋_GB2312"/>
          <w:color w:val="555555"/>
          <w:sz w:val="32"/>
          <w:szCs w:val="32"/>
        </w:rPr>
        <w:t>条件的</w:t>
      </w:r>
      <w:r>
        <w:rPr>
          <w:rFonts w:hint="eastAsia" w:ascii="仿宋_GB2312" w:hAnsi="仿宋_GB2312" w:eastAsia="仿宋_GB2312" w:cs="仿宋_GB2312"/>
          <w:color w:val="555555"/>
          <w:sz w:val="32"/>
          <w:szCs w:val="32"/>
          <w:lang w:eastAsia="zh-CN"/>
        </w:rPr>
        <w:t>法定代表人、</w:t>
      </w:r>
      <w:r>
        <w:rPr>
          <w:rFonts w:hint="eastAsia" w:ascii="仿宋_GB2312" w:hAnsi="仿宋_GB2312" w:eastAsia="仿宋_GB2312" w:cs="仿宋_GB2312"/>
          <w:color w:val="555555"/>
          <w:sz w:val="32"/>
          <w:szCs w:val="32"/>
        </w:rPr>
        <w:t>董事、监事和高级管理人员，以及具备相应专业知识和从业经验的工作人员；</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（四）有完善的交易规则、公司治理、风险控制、信息披露、交易安全保障、投资者适当性管理等制度；</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（五）有明确的交易品种，其中商品现货类交易场所的交易品种应当与本</w:t>
      </w:r>
      <w:r>
        <w:rPr>
          <w:rFonts w:hint="eastAsia" w:ascii="仿宋_GB2312" w:hAnsi="仿宋_GB2312" w:eastAsia="仿宋_GB2312" w:cs="仿宋_GB2312"/>
          <w:color w:val="555555"/>
          <w:sz w:val="32"/>
          <w:szCs w:val="32"/>
          <w:lang w:eastAsia="zh-CN"/>
        </w:rPr>
        <w:t>市</w:t>
      </w:r>
      <w:r>
        <w:rPr>
          <w:rFonts w:hint="eastAsia" w:ascii="仿宋_GB2312" w:hAnsi="仿宋_GB2312" w:eastAsia="仿宋_GB2312" w:cs="仿宋_GB2312"/>
          <w:color w:val="555555"/>
          <w:sz w:val="32"/>
          <w:szCs w:val="32"/>
        </w:rPr>
        <w:t>产业</w:t>
      </w:r>
      <w:r>
        <w:rPr>
          <w:rFonts w:hint="eastAsia" w:ascii="仿宋_GB2312" w:hAnsi="仿宋_GB2312" w:eastAsia="仿宋_GB2312" w:cs="仿宋_GB2312"/>
          <w:color w:val="555555"/>
          <w:sz w:val="32"/>
          <w:szCs w:val="32"/>
          <w:lang w:eastAsia="zh-CN"/>
        </w:rPr>
        <w:t>相</w:t>
      </w:r>
      <w:r>
        <w:rPr>
          <w:rFonts w:hint="eastAsia" w:ascii="仿宋_GB2312" w:hAnsi="仿宋_GB2312" w:eastAsia="仿宋_GB2312" w:cs="仿宋_GB2312"/>
          <w:color w:val="555555"/>
          <w:sz w:val="32"/>
          <w:szCs w:val="32"/>
        </w:rPr>
        <w:t>关；</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（六）与业务经营相适应的场所和设施；</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（七）注册地、实际经营地、服务器所在地应保持一致</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使用第三方云服务器的，服务器及业务数据应当存放在境内；</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（八）监管部门要求具备的其它审慎性条件。</w:t>
      </w:r>
      <w:r>
        <w:rPr>
          <w:rFonts w:ascii="Calibri" w:hAnsi="Calibri" w:eastAsia="仿宋_GB2312" w:cs="Calibri"/>
          <w:color w:val="555555"/>
          <w:sz w:val="32"/>
          <w:szCs w:val="32"/>
        </w:rPr>
        <w:t> </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第十一条</w:t>
      </w:r>
      <w:r>
        <w:rPr>
          <w:rFonts w:hint="eastAsia" w:ascii="Calibri" w:hAnsi="Calibri" w:eastAsia="仿宋_GB2312" w:cs="Calibri"/>
          <w:b/>
          <w:bCs/>
          <w:color w:val="555555"/>
          <w:sz w:val="32"/>
          <w:szCs w:val="32"/>
        </w:rPr>
        <w:t>【出资人范围</w:t>
      </w:r>
      <w:r>
        <w:rPr>
          <w:rFonts w:hint="eastAsia" w:ascii="Calibri" w:hAnsi="Calibri" w:eastAsia="仿宋_GB2312" w:cs="Calibri"/>
          <w:color w:val="555555"/>
          <w:sz w:val="32"/>
          <w:szCs w:val="32"/>
        </w:rPr>
        <w:t>】交易场所的出资人限于：中华人民共和国境内注册登记的</w:t>
      </w:r>
      <w:r>
        <w:rPr>
          <w:rFonts w:hint="eastAsia" w:ascii="Calibri" w:hAnsi="Calibri" w:eastAsia="仿宋_GB2312" w:cs="Calibri"/>
          <w:color w:val="555555"/>
          <w:sz w:val="32"/>
          <w:szCs w:val="32"/>
          <w:lang w:eastAsia="zh-CN"/>
        </w:rPr>
        <w:t>企业</w:t>
      </w:r>
      <w:r>
        <w:rPr>
          <w:rFonts w:hint="eastAsia" w:ascii="Calibri" w:hAnsi="Calibri" w:eastAsia="仿宋_GB2312" w:cs="Calibri"/>
          <w:color w:val="555555"/>
          <w:sz w:val="32"/>
          <w:szCs w:val="32"/>
        </w:rPr>
        <w:t>法人；境外（含港澳台）注册登记的金融机构、规范的交易场所及与交易场所交易业务相关或相近的企业。</w:t>
      </w:r>
    </w:p>
    <w:p>
      <w:pPr>
        <w:pStyle w:val="7"/>
        <w:spacing w:before="0" w:beforeAutospacing="0" w:after="0" w:afterAutospacing="0" w:line="560" w:lineRule="exact"/>
        <w:ind w:firstLine="643" w:firstLineChars="200"/>
        <w:rPr>
          <w:rFonts w:ascii="Calibri" w:hAnsi="Calibri" w:eastAsia="仿宋_GB2312" w:cs="Calibri"/>
          <w:color w:val="555555"/>
          <w:sz w:val="32"/>
          <w:szCs w:val="32"/>
        </w:rPr>
      </w:pPr>
      <w:r>
        <w:rPr>
          <w:rFonts w:hint="eastAsia" w:ascii="仿宋_GB2312" w:hAnsi="仿宋_GB2312" w:eastAsia="仿宋_GB2312" w:cs="仿宋_GB2312"/>
          <w:b/>
          <w:bCs/>
          <w:color w:val="555555"/>
          <w:sz w:val="32"/>
          <w:szCs w:val="32"/>
        </w:rPr>
        <w:t>第十二条【股权结构</w:t>
      </w:r>
      <w:r>
        <w:rPr>
          <w:rFonts w:hint="eastAsia" w:ascii="仿宋_GB2312" w:hAnsi="仿宋_GB2312" w:eastAsia="仿宋_GB2312" w:cs="仿宋_GB2312"/>
          <w:color w:val="555555"/>
          <w:sz w:val="32"/>
          <w:szCs w:val="32"/>
        </w:rPr>
        <w:t>】交易场所应由2个以上股东出资设立，其中主发起人应为最大股东，</w:t>
      </w:r>
      <w:r>
        <w:rPr>
          <w:rFonts w:hint="eastAsia" w:ascii="仿宋_GB2312" w:hAnsi="仿宋_GB2312" w:eastAsia="仿宋_GB2312" w:cs="仿宋_GB2312"/>
          <w:color w:val="555555"/>
          <w:sz w:val="32"/>
          <w:szCs w:val="32"/>
          <w:lang w:eastAsia="zh-CN"/>
        </w:rPr>
        <w:t>且</w:t>
      </w:r>
      <w:r>
        <w:rPr>
          <w:rFonts w:hint="eastAsia" w:ascii="仿宋_GB2312" w:hAnsi="仿宋_GB2312" w:eastAsia="仿宋_GB2312" w:cs="仿宋_GB2312"/>
          <w:color w:val="555555"/>
          <w:sz w:val="32"/>
          <w:szCs w:val="32"/>
        </w:rPr>
        <w:t>出资比例不得低于注册资本总额的30%。同一出资人在本市投资设立交易场所的数量不得超过1家，有市属国资整合改革要求的除外。</w:t>
      </w:r>
    </w:p>
    <w:p>
      <w:pPr>
        <w:pStyle w:val="7"/>
        <w:spacing w:before="0" w:beforeAutospacing="0" w:after="0" w:afterAutospacing="0" w:line="560" w:lineRule="exact"/>
        <w:ind w:firstLine="643" w:firstLineChars="200"/>
        <w:rPr>
          <w:rFonts w:ascii="Calibri" w:hAnsi="Calibri" w:eastAsia="仿宋_GB2312" w:cs="Calibri"/>
          <w:color w:val="555555"/>
          <w:sz w:val="32"/>
          <w:szCs w:val="32"/>
        </w:rPr>
      </w:pPr>
      <w:r>
        <w:rPr>
          <w:rFonts w:hint="eastAsia" w:ascii="Calibri" w:hAnsi="Calibri" w:eastAsia="仿宋_GB2312" w:cs="Calibri"/>
          <w:b/>
          <w:bCs/>
          <w:color w:val="555555"/>
          <w:sz w:val="32"/>
          <w:szCs w:val="32"/>
        </w:rPr>
        <w:t>第十三条【申请材料】</w:t>
      </w:r>
      <w:r>
        <w:rPr>
          <w:rFonts w:hint="eastAsia" w:ascii="Calibri" w:hAnsi="Calibri" w:eastAsia="仿宋_GB2312" w:cs="Calibri"/>
          <w:color w:val="555555"/>
          <w:sz w:val="32"/>
          <w:szCs w:val="32"/>
        </w:rPr>
        <w:t>申请设立交易场所，主发起人应提交下列材料：</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（一）书面申请文件，载明</w:t>
      </w:r>
      <w:r>
        <w:rPr>
          <w:rFonts w:hint="eastAsia" w:ascii="Calibri" w:hAnsi="Calibri" w:eastAsia="仿宋_GB2312" w:cs="Calibri"/>
          <w:color w:val="555555"/>
          <w:sz w:val="32"/>
          <w:szCs w:val="32"/>
          <w:lang w:eastAsia="zh-CN"/>
        </w:rPr>
        <w:t>全体</w:t>
      </w:r>
      <w:r>
        <w:rPr>
          <w:rFonts w:hint="eastAsia" w:ascii="Calibri" w:hAnsi="Calibri" w:eastAsia="仿宋_GB2312" w:cs="Calibri"/>
          <w:color w:val="555555"/>
          <w:sz w:val="32"/>
          <w:szCs w:val="32"/>
        </w:rPr>
        <w:t xml:space="preserve">出资人的名称、营业场所、注册资本、股权结构、组织结构设置、拟申请业务类型及交易模式、功能定位等； </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（二）</w:t>
      </w:r>
      <w:r>
        <w:rPr>
          <w:rFonts w:hint="eastAsia" w:ascii="Calibri" w:hAnsi="Calibri" w:eastAsia="仿宋_GB2312" w:cs="Calibri"/>
          <w:color w:val="555555"/>
          <w:sz w:val="32"/>
          <w:szCs w:val="32"/>
          <w:lang w:eastAsia="zh-CN"/>
        </w:rPr>
        <w:t>全体</w:t>
      </w:r>
      <w:r>
        <w:rPr>
          <w:rFonts w:hint="eastAsia" w:ascii="Calibri" w:hAnsi="Calibri" w:eastAsia="仿宋_GB2312" w:cs="Calibri"/>
          <w:color w:val="555555"/>
          <w:sz w:val="32"/>
          <w:szCs w:val="32"/>
        </w:rPr>
        <w:t xml:space="preserve">出资人营业执照（副本）复印件； </w:t>
      </w:r>
    </w:p>
    <w:p>
      <w:pPr>
        <w:pStyle w:val="7"/>
        <w:spacing w:before="0" w:beforeAutospacing="0" w:after="0" w:afterAutospacing="0" w:line="560" w:lineRule="exact"/>
        <w:ind w:firstLine="640" w:firstLineChars="200"/>
        <w:rPr>
          <w:rFonts w:hint="eastAsia" w:ascii="Calibri" w:hAnsi="Calibri" w:eastAsia="仿宋_GB2312" w:cs="Calibri"/>
          <w:color w:val="555555"/>
          <w:sz w:val="32"/>
          <w:szCs w:val="32"/>
        </w:rPr>
      </w:pPr>
      <w:r>
        <w:rPr>
          <w:rFonts w:hint="eastAsia" w:ascii="Calibri" w:hAnsi="Calibri" w:eastAsia="仿宋_GB2312" w:cs="Calibri"/>
          <w:color w:val="555555"/>
          <w:sz w:val="32"/>
          <w:szCs w:val="32"/>
        </w:rPr>
        <w:t>（三）</w:t>
      </w:r>
      <w:r>
        <w:rPr>
          <w:rFonts w:hint="eastAsia" w:ascii="Calibri" w:hAnsi="Calibri" w:eastAsia="仿宋_GB2312" w:cs="Calibri"/>
          <w:color w:val="555555"/>
          <w:sz w:val="32"/>
          <w:szCs w:val="32"/>
          <w:lang w:eastAsia="zh-CN"/>
        </w:rPr>
        <w:t>拟定</w:t>
      </w:r>
      <w:r>
        <w:rPr>
          <w:rFonts w:hint="eastAsia" w:ascii="Calibri" w:hAnsi="Calibri" w:eastAsia="仿宋_GB2312" w:cs="Calibri"/>
          <w:color w:val="555555"/>
          <w:sz w:val="32"/>
          <w:szCs w:val="32"/>
        </w:rPr>
        <w:t xml:space="preserve">公司章程草案； </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lang w:eastAsia="zh-CN"/>
        </w:rPr>
        <w:t>（四）全体</w:t>
      </w:r>
      <w:r>
        <w:rPr>
          <w:rFonts w:hint="eastAsia" w:ascii="Calibri" w:hAnsi="Calibri" w:eastAsia="仿宋_GB2312" w:cs="Calibri"/>
          <w:color w:val="555555"/>
          <w:sz w:val="32"/>
          <w:szCs w:val="32"/>
        </w:rPr>
        <w:t>出资人经会计师事务所审计的</w:t>
      </w:r>
      <w:r>
        <w:rPr>
          <w:rFonts w:hint="eastAsia" w:ascii="仿宋_GB2312" w:hAnsi="仿宋_GB2312" w:eastAsia="仿宋_GB2312" w:cs="仿宋_GB2312"/>
          <w:color w:val="555555"/>
          <w:sz w:val="32"/>
          <w:szCs w:val="32"/>
          <w:lang w:eastAsia="zh-CN"/>
        </w:rPr>
        <w:t>近</w:t>
      </w:r>
      <w:r>
        <w:rPr>
          <w:rFonts w:hint="eastAsia" w:ascii="仿宋_GB2312" w:hAnsi="仿宋_GB2312" w:eastAsia="仿宋_GB2312" w:cs="仿宋_GB2312"/>
          <w:color w:val="555555"/>
          <w:sz w:val="32"/>
          <w:szCs w:val="32"/>
          <w:lang w:val="en-US" w:eastAsia="zh-CN"/>
        </w:rPr>
        <w:t>3年的</w:t>
      </w:r>
      <w:r>
        <w:rPr>
          <w:rFonts w:hint="eastAsia" w:ascii="Calibri" w:hAnsi="Calibri" w:eastAsia="仿宋_GB2312" w:cs="Calibri"/>
          <w:color w:val="555555"/>
          <w:sz w:val="32"/>
          <w:szCs w:val="32"/>
        </w:rPr>
        <w:t xml:space="preserve">财务报告； </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 xml:space="preserve">（五）交易场所可行性研究报告； </w:t>
      </w:r>
      <w:bookmarkStart w:id="0" w:name="_GoBack"/>
      <w:bookmarkEnd w:id="0"/>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 xml:space="preserve">（六）交易场所业务规则和业务操作规范； </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 xml:space="preserve">（七）交易场所公司治理和内部控制制度； </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 xml:space="preserve">（八）交易场所风险管理制度； </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 xml:space="preserve">（九）交易场所交易信息系统软硬件建设资料； </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（十）</w:t>
      </w:r>
      <w:r>
        <w:rPr>
          <w:rFonts w:hint="eastAsia" w:ascii="Calibri" w:hAnsi="Calibri" w:eastAsia="仿宋_GB2312" w:cs="Calibri"/>
          <w:color w:val="555555"/>
          <w:sz w:val="32"/>
          <w:szCs w:val="32"/>
          <w:lang w:eastAsia="zh-CN"/>
        </w:rPr>
        <w:t>拟任法定代表人、</w:t>
      </w:r>
      <w:r>
        <w:rPr>
          <w:rFonts w:hint="eastAsia" w:ascii="Calibri" w:hAnsi="Calibri" w:eastAsia="仿宋_GB2312" w:cs="Calibri"/>
          <w:color w:val="555555"/>
          <w:sz w:val="32"/>
          <w:szCs w:val="32"/>
        </w:rPr>
        <w:t>董事、监事、高级管理人员的履历材料</w:t>
      </w:r>
      <w:r>
        <w:rPr>
          <w:rFonts w:hint="eastAsia" w:ascii="Calibri" w:hAnsi="Calibri" w:eastAsia="仿宋_GB2312" w:cs="Calibri"/>
          <w:color w:val="555555"/>
          <w:sz w:val="32"/>
          <w:szCs w:val="32"/>
          <w:lang w:eastAsia="zh-CN"/>
        </w:rPr>
        <w:t>、</w:t>
      </w:r>
      <w:r>
        <w:rPr>
          <w:rFonts w:hint="eastAsia" w:ascii="Calibri" w:hAnsi="Calibri" w:eastAsia="仿宋_GB2312" w:cs="Calibri"/>
          <w:color w:val="555555"/>
          <w:sz w:val="32"/>
          <w:szCs w:val="32"/>
        </w:rPr>
        <w:t>信用记录</w:t>
      </w:r>
      <w:r>
        <w:rPr>
          <w:rFonts w:hint="eastAsia" w:ascii="Calibri" w:hAnsi="Calibri" w:eastAsia="仿宋_GB2312" w:cs="Calibri"/>
          <w:color w:val="555555"/>
          <w:sz w:val="32"/>
          <w:szCs w:val="32"/>
          <w:lang w:eastAsia="zh-CN"/>
        </w:rPr>
        <w:t>和</w:t>
      </w:r>
      <w:r>
        <w:rPr>
          <w:rFonts w:hint="eastAsia" w:ascii="Calibri" w:hAnsi="Calibri" w:eastAsia="仿宋_GB2312" w:cs="Calibri"/>
          <w:color w:val="555555"/>
          <w:sz w:val="32"/>
          <w:szCs w:val="32"/>
        </w:rPr>
        <w:t xml:space="preserve">无犯罪记录证明材料； </w:t>
      </w:r>
    </w:p>
    <w:p>
      <w:pPr>
        <w:pStyle w:val="7"/>
        <w:spacing w:before="0" w:beforeAutospacing="0" w:after="0" w:afterAutospacing="0" w:line="560" w:lineRule="exact"/>
        <w:ind w:firstLine="640" w:firstLineChars="200"/>
        <w:rPr>
          <w:rFonts w:hint="eastAsia" w:ascii="Calibri" w:hAnsi="Calibri" w:eastAsia="仿宋_GB2312" w:cs="Calibri"/>
          <w:color w:val="555555"/>
          <w:sz w:val="32"/>
          <w:szCs w:val="32"/>
          <w:lang w:eastAsia="zh-CN"/>
        </w:rPr>
      </w:pPr>
      <w:r>
        <w:rPr>
          <w:rFonts w:hint="eastAsia" w:ascii="Calibri" w:hAnsi="Calibri" w:eastAsia="仿宋_GB2312" w:cs="Calibri"/>
          <w:color w:val="555555"/>
          <w:sz w:val="32"/>
          <w:szCs w:val="32"/>
        </w:rPr>
        <w:t>（十</w:t>
      </w:r>
      <w:r>
        <w:rPr>
          <w:rFonts w:hint="eastAsia" w:ascii="Calibri" w:hAnsi="Calibri" w:eastAsia="仿宋_GB2312" w:cs="Calibri"/>
          <w:color w:val="555555"/>
          <w:sz w:val="32"/>
          <w:szCs w:val="32"/>
          <w:lang w:eastAsia="zh-CN"/>
        </w:rPr>
        <w:t>一</w:t>
      </w:r>
      <w:r>
        <w:rPr>
          <w:rFonts w:hint="eastAsia" w:ascii="Calibri" w:hAnsi="Calibri" w:eastAsia="仿宋_GB2312" w:cs="Calibri"/>
          <w:color w:val="555555"/>
          <w:sz w:val="32"/>
          <w:szCs w:val="32"/>
        </w:rPr>
        <w:t>）律师事务所出具的法律意见书</w:t>
      </w:r>
      <w:r>
        <w:rPr>
          <w:rFonts w:hint="eastAsia" w:ascii="Calibri" w:hAnsi="Calibri" w:eastAsia="仿宋_GB2312" w:cs="Calibri"/>
          <w:color w:val="555555"/>
          <w:sz w:val="32"/>
          <w:szCs w:val="32"/>
          <w:lang w:eastAsia="zh-CN"/>
        </w:rPr>
        <w:t>；</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lang w:eastAsia="zh-CN"/>
        </w:rPr>
        <w:t>（十二）</w:t>
      </w:r>
      <w:r>
        <w:rPr>
          <w:rFonts w:hint="eastAsia" w:ascii="Calibri" w:hAnsi="Calibri" w:eastAsia="仿宋_GB2312" w:cs="Calibri"/>
          <w:color w:val="555555"/>
          <w:sz w:val="32"/>
          <w:szCs w:val="32"/>
        </w:rPr>
        <w:t xml:space="preserve">申请材料真实性承诺书； </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（十</w:t>
      </w:r>
      <w:r>
        <w:rPr>
          <w:rFonts w:hint="eastAsia" w:ascii="Calibri" w:hAnsi="Calibri" w:eastAsia="仿宋_GB2312" w:cs="Calibri"/>
          <w:color w:val="555555"/>
          <w:sz w:val="32"/>
          <w:szCs w:val="32"/>
          <w:lang w:eastAsia="zh-CN"/>
        </w:rPr>
        <w:t>三</w:t>
      </w:r>
      <w:r>
        <w:rPr>
          <w:rFonts w:hint="eastAsia" w:ascii="Calibri" w:hAnsi="Calibri" w:eastAsia="仿宋_GB2312" w:cs="Calibri"/>
          <w:color w:val="555555"/>
          <w:sz w:val="32"/>
          <w:szCs w:val="32"/>
        </w:rPr>
        <w:t xml:space="preserve">）其他按照审慎性原则需提供的材料。 </w:t>
      </w:r>
    </w:p>
    <w:p>
      <w:pPr>
        <w:pStyle w:val="7"/>
        <w:spacing w:before="0" w:beforeAutospacing="0" w:after="0" w:afterAutospacing="0" w:line="560" w:lineRule="exact"/>
        <w:ind w:firstLine="643" w:firstLineChars="200"/>
        <w:rPr>
          <w:rFonts w:ascii="Calibri" w:hAnsi="Calibri" w:eastAsia="仿宋_GB2312" w:cs="Calibri"/>
          <w:color w:val="555555"/>
          <w:sz w:val="32"/>
          <w:szCs w:val="32"/>
        </w:rPr>
      </w:pPr>
      <w:r>
        <w:rPr>
          <w:rFonts w:hint="eastAsia" w:ascii="Calibri" w:hAnsi="Calibri" w:eastAsia="仿宋_GB2312" w:cs="Calibri"/>
          <w:b/>
          <w:bCs/>
          <w:color w:val="555555"/>
          <w:sz w:val="32"/>
          <w:szCs w:val="32"/>
        </w:rPr>
        <w:t>第十四条【设立程序】</w:t>
      </w:r>
      <w:r>
        <w:rPr>
          <w:rFonts w:hint="eastAsia" w:ascii="Calibri" w:hAnsi="Calibri" w:eastAsia="仿宋_GB2312" w:cs="Calibri"/>
          <w:color w:val="555555"/>
          <w:sz w:val="32"/>
          <w:szCs w:val="32"/>
        </w:rPr>
        <w:t>申请设立交易场所，按照下列程序办理。</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（一）由主发起人向市地方金融监督管理局</w:t>
      </w:r>
      <w:r>
        <w:rPr>
          <w:rFonts w:hint="eastAsia" w:ascii="Calibri" w:hAnsi="Calibri" w:eastAsia="仿宋_GB2312" w:cs="Calibri"/>
          <w:color w:val="555555"/>
          <w:sz w:val="32"/>
          <w:szCs w:val="32"/>
          <w:lang w:eastAsia="zh-CN"/>
        </w:rPr>
        <w:t>（</w:t>
      </w:r>
      <w:r>
        <w:rPr>
          <w:rFonts w:hint="eastAsia" w:ascii="Calibri" w:hAnsi="Calibri" w:eastAsia="仿宋_GB2312" w:cs="Calibri"/>
          <w:color w:val="555555"/>
          <w:sz w:val="32"/>
          <w:szCs w:val="32"/>
        </w:rPr>
        <w:t>联席会议办公室</w:t>
      </w:r>
      <w:r>
        <w:rPr>
          <w:rFonts w:hint="eastAsia" w:ascii="Calibri" w:hAnsi="Calibri" w:eastAsia="仿宋_GB2312" w:cs="Calibri"/>
          <w:color w:val="555555"/>
          <w:sz w:val="32"/>
          <w:szCs w:val="32"/>
          <w:lang w:eastAsia="zh-CN"/>
        </w:rPr>
        <w:t>）</w:t>
      </w:r>
      <w:r>
        <w:rPr>
          <w:rFonts w:hint="eastAsia" w:ascii="Calibri" w:hAnsi="Calibri" w:eastAsia="仿宋_GB2312" w:cs="Calibri"/>
          <w:color w:val="555555"/>
          <w:sz w:val="32"/>
          <w:szCs w:val="32"/>
        </w:rPr>
        <w:t>提交书面申请及相关材料，并对所提交申请材料的真实性负责。</w:t>
      </w:r>
    </w:p>
    <w:p>
      <w:pPr>
        <w:pStyle w:val="7"/>
        <w:spacing w:before="0" w:beforeAutospacing="0" w:after="0" w:afterAutospacing="0" w:line="560" w:lineRule="exact"/>
        <w:ind w:firstLine="640" w:firstLineChars="200"/>
        <w:jc w:val="both"/>
        <w:rPr>
          <w:rFonts w:hint="eastAsia" w:ascii="Calibri" w:hAnsi="Calibri" w:eastAsia="仿宋_GB2312" w:cs="Calibri"/>
          <w:color w:val="555555"/>
          <w:sz w:val="32"/>
          <w:szCs w:val="32"/>
          <w:lang w:eastAsia="zh-CN"/>
        </w:rPr>
      </w:pPr>
      <w:r>
        <w:rPr>
          <w:rFonts w:hint="eastAsia" w:ascii="Calibri" w:hAnsi="Calibri" w:eastAsia="仿宋_GB2312" w:cs="Calibri"/>
          <w:color w:val="555555"/>
          <w:sz w:val="32"/>
          <w:szCs w:val="32"/>
        </w:rPr>
        <w:t>（二）市地方金融监督管理局</w:t>
      </w:r>
      <w:r>
        <w:rPr>
          <w:rFonts w:hint="eastAsia" w:ascii="Calibri" w:hAnsi="Calibri" w:eastAsia="仿宋_GB2312" w:cs="Calibri"/>
          <w:color w:val="555555"/>
          <w:sz w:val="32"/>
          <w:szCs w:val="32"/>
          <w:lang w:eastAsia="zh-CN"/>
        </w:rPr>
        <w:t>（联席会议办公室）商请市委编办根据交易场所的功能定位、行业规划、交易品种属性等，初步提出权责匹配的市级行业主管部门，并报联席会议确定。</w:t>
      </w:r>
    </w:p>
    <w:p>
      <w:pPr>
        <w:pStyle w:val="7"/>
        <w:spacing w:before="0" w:beforeAutospacing="0" w:after="0" w:afterAutospacing="0" w:line="560" w:lineRule="exact"/>
        <w:ind w:firstLine="640" w:firstLineChars="200"/>
        <w:jc w:val="both"/>
        <w:rPr>
          <w:rFonts w:ascii="Calibri" w:hAnsi="Calibri" w:eastAsia="仿宋_GB2312" w:cs="Calibri"/>
          <w:color w:val="555555"/>
          <w:sz w:val="32"/>
          <w:szCs w:val="32"/>
        </w:rPr>
      </w:pPr>
      <w:r>
        <w:rPr>
          <w:rFonts w:hint="eastAsia" w:ascii="Calibri" w:hAnsi="Calibri" w:eastAsia="仿宋_GB2312" w:cs="Calibri"/>
          <w:color w:val="555555"/>
          <w:sz w:val="32"/>
          <w:szCs w:val="32"/>
          <w:lang w:eastAsia="zh-CN"/>
        </w:rPr>
        <w:t>（三）</w:t>
      </w:r>
      <w:r>
        <w:rPr>
          <w:rFonts w:hint="eastAsia" w:ascii="Calibri" w:hAnsi="Calibri" w:eastAsia="仿宋_GB2312" w:cs="Calibri"/>
          <w:color w:val="555555"/>
          <w:sz w:val="32"/>
          <w:szCs w:val="32"/>
        </w:rPr>
        <w:t>联席会议确定行业主管部门后，由</w:t>
      </w:r>
      <w:r>
        <w:rPr>
          <w:rFonts w:hint="eastAsia" w:ascii="Calibri" w:hAnsi="Calibri" w:eastAsia="仿宋_GB2312" w:cs="Calibri"/>
          <w:color w:val="555555"/>
          <w:sz w:val="32"/>
          <w:szCs w:val="32"/>
          <w:lang w:eastAsia="zh-CN"/>
        </w:rPr>
        <w:t>市级行业主管</w:t>
      </w:r>
      <w:r>
        <w:rPr>
          <w:rFonts w:hint="eastAsia" w:ascii="Calibri" w:hAnsi="Calibri" w:eastAsia="仿宋_GB2312" w:cs="Calibri"/>
          <w:color w:val="555555"/>
          <w:sz w:val="32"/>
          <w:szCs w:val="32"/>
        </w:rPr>
        <w:t>部门对交易场所设立的必要性、可行性及相关材料、资质的完备性等提出初步审查意见，同时征得拟设立交易场所</w:t>
      </w:r>
      <w:r>
        <w:rPr>
          <w:rFonts w:hint="eastAsia" w:ascii="Calibri" w:hAnsi="Calibri" w:eastAsia="仿宋_GB2312" w:cs="Calibri"/>
          <w:color w:val="555555"/>
          <w:sz w:val="32"/>
          <w:szCs w:val="32"/>
          <w:lang w:eastAsia="zh-CN"/>
        </w:rPr>
        <w:t>注册地区政府</w:t>
      </w:r>
      <w:r>
        <w:rPr>
          <w:rFonts w:hint="eastAsia" w:ascii="Calibri" w:hAnsi="Calibri" w:eastAsia="仿宋_GB2312" w:cs="Calibri"/>
          <w:color w:val="555555"/>
          <w:sz w:val="32"/>
          <w:szCs w:val="32"/>
        </w:rPr>
        <w:t>同意，并由拟设立交易场所</w:t>
      </w:r>
      <w:r>
        <w:rPr>
          <w:rFonts w:hint="eastAsia" w:ascii="Calibri" w:hAnsi="Calibri" w:eastAsia="仿宋_GB2312" w:cs="Calibri"/>
          <w:color w:val="555555"/>
          <w:sz w:val="32"/>
          <w:szCs w:val="32"/>
          <w:lang w:eastAsia="zh-CN"/>
        </w:rPr>
        <w:t>注册地区政府</w:t>
      </w:r>
      <w:r>
        <w:rPr>
          <w:rFonts w:hint="eastAsia" w:ascii="Calibri" w:hAnsi="Calibri" w:eastAsia="仿宋_GB2312" w:cs="Calibri"/>
          <w:color w:val="555555"/>
          <w:sz w:val="32"/>
          <w:szCs w:val="32"/>
        </w:rPr>
        <w:t>出具</w:t>
      </w:r>
      <w:r>
        <w:rPr>
          <w:rFonts w:hint="eastAsia" w:ascii="Calibri" w:hAnsi="Calibri" w:eastAsia="仿宋_GB2312" w:cs="Calibri"/>
          <w:color w:val="555555"/>
          <w:sz w:val="32"/>
          <w:szCs w:val="32"/>
          <w:lang w:eastAsia="zh-CN"/>
        </w:rPr>
        <w:t>书面</w:t>
      </w:r>
      <w:r>
        <w:rPr>
          <w:rFonts w:hint="eastAsia" w:ascii="Calibri" w:hAnsi="Calibri" w:eastAsia="仿宋_GB2312" w:cs="Calibri"/>
          <w:color w:val="555555"/>
          <w:sz w:val="32"/>
          <w:szCs w:val="32"/>
        </w:rPr>
        <w:t>意见及风险处置承诺书。</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在审查过程中，</w:t>
      </w:r>
      <w:r>
        <w:rPr>
          <w:rFonts w:hint="eastAsia" w:ascii="Calibri" w:hAnsi="Calibri" w:eastAsia="仿宋_GB2312" w:cs="Calibri"/>
          <w:color w:val="555555"/>
          <w:sz w:val="32"/>
          <w:szCs w:val="32"/>
          <w:lang w:eastAsia="zh-CN"/>
        </w:rPr>
        <w:t>市级行业主管</w:t>
      </w:r>
      <w:r>
        <w:rPr>
          <w:rFonts w:hint="eastAsia" w:ascii="Calibri" w:hAnsi="Calibri" w:eastAsia="仿宋_GB2312" w:cs="Calibri"/>
          <w:color w:val="555555"/>
          <w:sz w:val="32"/>
          <w:szCs w:val="32"/>
        </w:rPr>
        <w:t>部门可以</w:t>
      </w:r>
      <w:r>
        <w:rPr>
          <w:rFonts w:hint="eastAsia" w:ascii="Calibri" w:hAnsi="Calibri" w:eastAsia="仿宋_GB2312" w:cs="Calibri"/>
          <w:color w:val="555555"/>
          <w:sz w:val="32"/>
          <w:szCs w:val="32"/>
          <w:lang w:eastAsia="zh-CN"/>
        </w:rPr>
        <w:t>采取</w:t>
      </w:r>
      <w:r>
        <w:rPr>
          <w:rFonts w:hint="eastAsia" w:ascii="Calibri" w:hAnsi="Calibri" w:eastAsia="仿宋_GB2312" w:cs="Calibri"/>
          <w:color w:val="555555"/>
          <w:sz w:val="32"/>
          <w:szCs w:val="32"/>
        </w:rPr>
        <w:t>征询联席会议相关成员单位、行业专家、研究机构、行业协会意见，或者委托第三方专业机构开展评估等方式研提</w:t>
      </w:r>
      <w:r>
        <w:rPr>
          <w:rFonts w:hint="eastAsia" w:ascii="Calibri" w:hAnsi="Calibri" w:eastAsia="仿宋_GB2312" w:cs="Calibri"/>
          <w:color w:val="555555"/>
          <w:sz w:val="32"/>
          <w:szCs w:val="32"/>
          <w:lang w:eastAsia="zh-CN"/>
        </w:rPr>
        <w:t>审查</w:t>
      </w:r>
      <w:r>
        <w:rPr>
          <w:rFonts w:hint="eastAsia" w:ascii="Calibri" w:hAnsi="Calibri" w:eastAsia="仿宋_GB2312" w:cs="Calibri"/>
          <w:color w:val="555555"/>
          <w:sz w:val="32"/>
          <w:szCs w:val="32"/>
        </w:rPr>
        <w:t>意见，作为审核申请材料的参考依据。</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w:t>
      </w:r>
      <w:r>
        <w:rPr>
          <w:rFonts w:hint="eastAsia" w:ascii="Calibri" w:hAnsi="Calibri" w:eastAsia="仿宋_GB2312" w:cs="Calibri"/>
          <w:color w:val="555555"/>
          <w:sz w:val="32"/>
          <w:szCs w:val="32"/>
          <w:lang w:eastAsia="zh-CN"/>
        </w:rPr>
        <w:t>四</w:t>
      </w:r>
      <w:r>
        <w:rPr>
          <w:rFonts w:hint="eastAsia" w:ascii="Calibri" w:hAnsi="Calibri" w:eastAsia="仿宋_GB2312" w:cs="Calibri"/>
          <w:color w:val="555555"/>
          <w:sz w:val="32"/>
          <w:szCs w:val="32"/>
        </w:rPr>
        <w:t>）</w:t>
      </w:r>
      <w:r>
        <w:rPr>
          <w:rFonts w:hint="eastAsia" w:ascii="Calibri" w:hAnsi="Calibri" w:eastAsia="仿宋_GB2312" w:cs="Calibri"/>
          <w:color w:val="555555"/>
          <w:sz w:val="32"/>
          <w:szCs w:val="32"/>
          <w:lang w:eastAsia="zh-CN"/>
        </w:rPr>
        <w:t>市级行业主管</w:t>
      </w:r>
      <w:r>
        <w:rPr>
          <w:rFonts w:hint="eastAsia" w:ascii="Calibri" w:hAnsi="Calibri" w:eastAsia="仿宋_GB2312" w:cs="Calibri"/>
          <w:color w:val="555555"/>
          <w:sz w:val="32"/>
          <w:szCs w:val="32"/>
        </w:rPr>
        <w:t>部门初审同意后，</w:t>
      </w:r>
      <w:r>
        <w:rPr>
          <w:rFonts w:hint="eastAsia" w:ascii="Calibri" w:hAnsi="Calibri" w:eastAsia="仿宋_GB2312" w:cs="Calibri"/>
          <w:color w:val="555555"/>
          <w:sz w:val="32"/>
          <w:szCs w:val="32"/>
          <w:lang w:eastAsia="zh-CN"/>
        </w:rPr>
        <w:t>上报</w:t>
      </w:r>
      <w:r>
        <w:rPr>
          <w:rFonts w:hint="eastAsia" w:ascii="Calibri" w:hAnsi="Calibri" w:eastAsia="仿宋_GB2312" w:cs="Calibri"/>
          <w:color w:val="555555"/>
          <w:sz w:val="32"/>
          <w:szCs w:val="32"/>
        </w:rPr>
        <w:t>联席会议</w:t>
      </w:r>
      <w:r>
        <w:rPr>
          <w:rFonts w:hint="eastAsia" w:ascii="Calibri" w:hAnsi="Calibri" w:eastAsia="仿宋_GB2312" w:cs="Calibri"/>
          <w:color w:val="555555"/>
          <w:sz w:val="32"/>
          <w:szCs w:val="32"/>
          <w:lang w:eastAsia="zh-CN"/>
        </w:rPr>
        <w:t>，</w:t>
      </w:r>
      <w:r>
        <w:rPr>
          <w:rFonts w:hint="eastAsia" w:ascii="Calibri" w:hAnsi="Calibri" w:eastAsia="仿宋_GB2312" w:cs="Calibri"/>
          <w:color w:val="555555"/>
          <w:sz w:val="32"/>
          <w:szCs w:val="32"/>
        </w:rPr>
        <w:t>联席会议</w:t>
      </w:r>
      <w:r>
        <w:rPr>
          <w:rFonts w:hint="eastAsia" w:ascii="Calibri" w:hAnsi="Calibri" w:eastAsia="仿宋_GB2312" w:cs="Calibri"/>
          <w:color w:val="555555"/>
          <w:sz w:val="32"/>
          <w:szCs w:val="32"/>
          <w:lang w:eastAsia="zh-CN"/>
        </w:rPr>
        <w:t>无不同意见的，由市级行业主管部门</w:t>
      </w:r>
      <w:r>
        <w:rPr>
          <w:rFonts w:hint="eastAsia" w:ascii="Calibri" w:hAnsi="Calibri" w:eastAsia="仿宋_GB2312" w:cs="Calibri"/>
          <w:color w:val="555555"/>
          <w:sz w:val="32"/>
          <w:szCs w:val="32"/>
        </w:rPr>
        <w:t>报请市政府审批。</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w:t>
      </w:r>
      <w:r>
        <w:rPr>
          <w:rFonts w:hint="eastAsia" w:ascii="Calibri" w:hAnsi="Calibri" w:eastAsia="仿宋_GB2312" w:cs="Calibri"/>
          <w:color w:val="555555"/>
          <w:sz w:val="32"/>
          <w:szCs w:val="32"/>
          <w:lang w:eastAsia="zh-CN"/>
        </w:rPr>
        <w:t>五</w:t>
      </w:r>
      <w:r>
        <w:rPr>
          <w:rFonts w:hint="eastAsia" w:ascii="Calibri" w:hAnsi="Calibri" w:eastAsia="仿宋_GB2312" w:cs="Calibri"/>
          <w:color w:val="555555"/>
          <w:sz w:val="32"/>
          <w:szCs w:val="32"/>
        </w:rPr>
        <w:t>）市政府审批同意后出具批复文件，或授权市级行业主管部门冠“经市人民政府同意”字样出具批复文件。设立申请未获批准的，由市级行业主管部门向申请人出具书面答复。</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六</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市场监管部门依据批复文件</w:t>
      </w:r>
      <w:r>
        <w:rPr>
          <w:rFonts w:hint="eastAsia" w:ascii="仿宋_GB2312" w:hAnsi="仿宋_GB2312" w:eastAsia="仿宋_GB2312" w:cs="仿宋_GB2312"/>
          <w:color w:val="555555"/>
          <w:sz w:val="32"/>
          <w:szCs w:val="32"/>
        </w:rPr>
        <w:t>办理登记注册手续</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未经依法批准使用“交易所”“交易中心”字样</w:t>
      </w:r>
      <w:r>
        <w:rPr>
          <w:rFonts w:hint="eastAsia" w:ascii="仿宋_GB2312" w:hAnsi="仿宋_GB2312" w:eastAsia="仿宋_GB2312" w:cs="仿宋_GB2312"/>
          <w:color w:val="555555"/>
          <w:sz w:val="32"/>
          <w:szCs w:val="32"/>
          <w:lang w:eastAsia="zh-CN"/>
        </w:rPr>
        <w:t>的</w:t>
      </w:r>
      <w:r>
        <w:rPr>
          <w:rFonts w:hint="eastAsia" w:ascii="仿宋_GB2312" w:hAnsi="仿宋_GB2312" w:eastAsia="仿宋_GB2312" w:cs="仿宋_GB2312"/>
          <w:color w:val="555555"/>
          <w:sz w:val="32"/>
          <w:szCs w:val="32"/>
        </w:rPr>
        <w:t>交易场所，市</w:t>
      </w:r>
      <w:r>
        <w:rPr>
          <w:rFonts w:hint="eastAsia" w:ascii="仿宋_GB2312" w:hAnsi="仿宋_GB2312" w:eastAsia="仿宋_GB2312" w:cs="仿宋_GB2312"/>
          <w:color w:val="555555"/>
          <w:sz w:val="32"/>
          <w:szCs w:val="32"/>
          <w:lang w:eastAsia="zh-CN"/>
        </w:rPr>
        <w:t>市场监管部门</w:t>
      </w:r>
      <w:r>
        <w:rPr>
          <w:rFonts w:hint="eastAsia" w:ascii="仿宋_GB2312" w:hAnsi="仿宋_GB2312" w:eastAsia="仿宋_GB2312" w:cs="仿宋_GB2312"/>
          <w:color w:val="555555"/>
          <w:sz w:val="32"/>
          <w:szCs w:val="32"/>
        </w:rPr>
        <w:t>不得为其办理登记注册。</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交易场所分立、合并参照上述程序执行。</w:t>
      </w:r>
    </w:p>
    <w:p>
      <w:pPr>
        <w:pStyle w:val="7"/>
        <w:spacing w:before="0" w:beforeAutospacing="0" w:after="0" w:afterAutospacing="0" w:line="560" w:lineRule="exact"/>
        <w:ind w:firstLine="643" w:firstLineChars="200"/>
        <w:rPr>
          <w:rFonts w:ascii="Calibri" w:hAnsi="Calibri" w:eastAsia="仿宋_GB2312" w:cs="Calibri"/>
          <w:color w:val="555555"/>
          <w:sz w:val="32"/>
          <w:szCs w:val="32"/>
        </w:rPr>
      </w:pPr>
      <w:r>
        <w:rPr>
          <w:rFonts w:hint="eastAsia" w:ascii="Calibri" w:hAnsi="Calibri" w:eastAsia="仿宋_GB2312" w:cs="Calibri"/>
          <w:b/>
          <w:bCs/>
          <w:color w:val="555555"/>
          <w:sz w:val="32"/>
          <w:szCs w:val="32"/>
        </w:rPr>
        <w:t>第十五条【分支机构设立】</w:t>
      </w:r>
      <w:r>
        <w:rPr>
          <w:rFonts w:hint="eastAsia" w:ascii="Calibri" w:hAnsi="Calibri" w:eastAsia="仿宋_GB2312" w:cs="Calibri"/>
          <w:color w:val="555555"/>
          <w:sz w:val="32"/>
          <w:szCs w:val="32"/>
        </w:rPr>
        <w:t>交易场所原则上不得设立分支机构，确有必要设立的，按下列程序办理，并按属地原则进行监管。</w:t>
      </w:r>
    </w:p>
    <w:p>
      <w:pPr>
        <w:pStyle w:val="7"/>
        <w:spacing w:before="0" w:beforeAutospacing="0" w:after="0" w:afterAutospacing="0" w:line="560" w:lineRule="exact"/>
        <w:ind w:firstLine="640" w:firstLineChars="200"/>
        <w:rPr>
          <w:rFonts w:ascii="仿宋_GB2312" w:hAnsi="仿宋_GB2312" w:eastAsia="仿宋_GB2312" w:cs="仿宋_GB2312"/>
          <w:color w:val="424242"/>
          <w:sz w:val="32"/>
          <w:szCs w:val="32"/>
        </w:rPr>
      </w:pPr>
      <w:r>
        <w:rPr>
          <w:rFonts w:hint="eastAsia" w:ascii="Calibri" w:hAnsi="Calibri" w:eastAsia="仿宋_GB2312" w:cs="Calibri"/>
          <w:color w:val="555555"/>
          <w:sz w:val="32"/>
          <w:szCs w:val="32"/>
        </w:rPr>
        <w:t>（一）本市交易场所在市内设立分支机构的，应当由市级行业主管部门初审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并</w:t>
      </w:r>
      <w:r>
        <w:rPr>
          <w:rFonts w:hint="eastAsia" w:ascii="仿宋_GB2312" w:hAnsi="仿宋_GB2312" w:eastAsia="仿宋_GB2312" w:cs="仿宋_GB2312"/>
          <w:color w:val="555555"/>
          <w:sz w:val="32"/>
          <w:szCs w:val="32"/>
        </w:rPr>
        <w:t>征得拟设立分支机构经营场所所在地的区政府同意后，</w:t>
      </w:r>
      <w:r>
        <w:rPr>
          <w:rFonts w:hint="eastAsia" w:ascii="仿宋_GB2312" w:hAnsi="仿宋_GB2312" w:eastAsia="仿宋_GB2312" w:cs="仿宋_GB2312"/>
          <w:color w:val="424242"/>
          <w:sz w:val="32"/>
          <w:szCs w:val="32"/>
        </w:rPr>
        <w:t>参照新设</w:t>
      </w:r>
      <w:r>
        <w:rPr>
          <w:rFonts w:hint="eastAsia" w:ascii="仿宋_GB2312" w:hAnsi="仿宋_GB2312" w:eastAsia="仿宋_GB2312" w:cs="仿宋_GB2312"/>
          <w:color w:val="424242"/>
          <w:sz w:val="32"/>
          <w:szCs w:val="32"/>
          <w:lang w:eastAsia="zh-CN"/>
        </w:rPr>
        <w:t>立</w:t>
      </w:r>
      <w:r>
        <w:rPr>
          <w:rFonts w:hint="eastAsia" w:ascii="仿宋_GB2312" w:hAnsi="仿宋_GB2312" w:eastAsia="仿宋_GB2312" w:cs="仿宋_GB2312"/>
          <w:color w:val="424242"/>
          <w:sz w:val="32"/>
          <w:szCs w:val="32"/>
        </w:rPr>
        <w:t>交易场所程序，报</w:t>
      </w:r>
      <w:r>
        <w:rPr>
          <w:rFonts w:hint="eastAsia" w:ascii="仿宋_GB2312" w:hAnsi="仿宋_GB2312" w:eastAsia="仿宋_GB2312" w:cs="仿宋_GB2312"/>
          <w:color w:val="555555"/>
          <w:sz w:val="32"/>
          <w:szCs w:val="32"/>
        </w:rPr>
        <w:t>市</w:t>
      </w:r>
      <w:r>
        <w:rPr>
          <w:rFonts w:hint="eastAsia" w:ascii="仿宋_GB2312" w:hAnsi="仿宋_GB2312" w:eastAsia="仿宋_GB2312" w:cs="仿宋_GB2312"/>
          <w:color w:val="424242"/>
          <w:sz w:val="32"/>
          <w:szCs w:val="32"/>
        </w:rPr>
        <w:t>政府批准。</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424242"/>
          <w:sz w:val="32"/>
          <w:szCs w:val="32"/>
        </w:rPr>
        <w:t>（二）</w:t>
      </w:r>
      <w:r>
        <w:rPr>
          <w:rFonts w:hint="eastAsia" w:ascii="仿宋_GB2312" w:hAnsi="仿宋_GB2312" w:eastAsia="仿宋_GB2312" w:cs="仿宋_GB2312"/>
          <w:color w:val="555555"/>
          <w:sz w:val="32"/>
          <w:szCs w:val="32"/>
        </w:rPr>
        <w:t>本市</w:t>
      </w:r>
      <w:r>
        <w:rPr>
          <w:rFonts w:hint="eastAsia" w:ascii="仿宋_GB2312" w:hAnsi="仿宋_GB2312" w:eastAsia="仿宋_GB2312" w:cs="仿宋_GB2312"/>
          <w:color w:val="424242"/>
          <w:sz w:val="32"/>
          <w:szCs w:val="32"/>
        </w:rPr>
        <w:t>交易场所在</w:t>
      </w:r>
      <w:r>
        <w:rPr>
          <w:rFonts w:hint="eastAsia" w:ascii="仿宋_GB2312" w:hAnsi="仿宋_GB2312" w:eastAsia="仿宋_GB2312" w:cs="仿宋_GB2312"/>
          <w:color w:val="555555"/>
          <w:sz w:val="32"/>
          <w:szCs w:val="32"/>
        </w:rPr>
        <w:t>市</w:t>
      </w:r>
      <w:r>
        <w:rPr>
          <w:rFonts w:hint="eastAsia" w:ascii="仿宋_GB2312" w:hAnsi="仿宋_GB2312" w:eastAsia="仿宋_GB2312" w:cs="仿宋_GB2312"/>
          <w:color w:val="424242"/>
          <w:sz w:val="32"/>
          <w:szCs w:val="32"/>
        </w:rPr>
        <w:t>外设立分支机构，或者</w:t>
      </w:r>
      <w:r>
        <w:rPr>
          <w:rFonts w:hint="eastAsia" w:ascii="仿宋_GB2312" w:hAnsi="仿宋_GB2312" w:eastAsia="仿宋_GB2312" w:cs="仿宋_GB2312"/>
          <w:color w:val="555555"/>
          <w:sz w:val="32"/>
          <w:szCs w:val="32"/>
        </w:rPr>
        <w:t>市</w:t>
      </w:r>
      <w:r>
        <w:rPr>
          <w:rFonts w:hint="eastAsia" w:ascii="仿宋_GB2312" w:hAnsi="仿宋_GB2312" w:eastAsia="仿宋_GB2312" w:cs="仿宋_GB2312"/>
          <w:color w:val="424242"/>
          <w:sz w:val="32"/>
          <w:szCs w:val="32"/>
        </w:rPr>
        <w:t>外交易场所在本</w:t>
      </w:r>
      <w:r>
        <w:rPr>
          <w:rFonts w:hint="eastAsia" w:ascii="仿宋_GB2312" w:hAnsi="仿宋_GB2312" w:eastAsia="仿宋_GB2312" w:cs="仿宋_GB2312"/>
          <w:color w:val="555555"/>
          <w:sz w:val="32"/>
          <w:szCs w:val="32"/>
        </w:rPr>
        <w:t>市</w:t>
      </w:r>
      <w:r>
        <w:rPr>
          <w:rFonts w:hint="eastAsia" w:ascii="仿宋_GB2312" w:hAnsi="仿宋_GB2312" w:eastAsia="仿宋_GB2312" w:cs="仿宋_GB2312"/>
          <w:color w:val="424242"/>
          <w:sz w:val="32"/>
          <w:szCs w:val="32"/>
        </w:rPr>
        <w:t>设立分支机构，应当分别按程序报总部住所地和分支机构经营场所所在地省</w:t>
      </w:r>
      <w:r>
        <w:rPr>
          <w:rFonts w:hint="eastAsia" w:ascii="仿宋_GB2312" w:hAnsi="仿宋_GB2312" w:eastAsia="仿宋_GB2312" w:cs="仿宋_GB2312"/>
          <w:color w:val="555555"/>
          <w:sz w:val="32"/>
          <w:szCs w:val="32"/>
        </w:rPr>
        <w:t>（市）</w:t>
      </w:r>
      <w:r>
        <w:rPr>
          <w:rFonts w:hint="eastAsia" w:ascii="仿宋_GB2312" w:hAnsi="仿宋_GB2312" w:eastAsia="仿宋_GB2312" w:cs="仿宋_GB2312"/>
          <w:color w:val="424242"/>
          <w:sz w:val="32"/>
          <w:szCs w:val="32"/>
        </w:rPr>
        <w:t>级人民政府批准。</w:t>
      </w:r>
    </w:p>
    <w:p>
      <w:pPr>
        <w:pStyle w:val="7"/>
        <w:spacing w:before="0" w:beforeAutospacing="0" w:after="0" w:afterAutospacing="0" w:line="560" w:lineRule="exact"/>
        <w:ind w:firstLine="643" w:firstLineChars="200"/>
        <w:rPr>
          <w:rFonts w:ascii="Calibri" w:hAnsi="Calibri" w:eastAsia="仿宋_GB2312" w:cs="Calibri"/>
          <w:color w:val="555555"/>
          <w:sz w:val="32"/>
          <w:szCs w:val="32"/>
        </w:rPr>
      </w:pPr>
      <w:r>
        <w:rPr>
          <w:rFonts w:hint="eastAsia" w:ascii="仿宋_GB2312" w:hAnsi="仿宋_GB2312" w:eastAsia="仿宋_GB2312" w:cs="仿宋_GB2312"/>
          <w:b/>
          <w:bCs/>
          <w:color w:val="424242"/>
          <w:sz w:val="32"/>
          <w:szCs w:val="32"/>
        </w:rPr>
        <w:t>第十六条【开业】</w:t>
      </w:r>
      <w:r>
        <w:rPr>
          <w:rFonts w:hint="eastAsia" w:ascii="仿宋_GB2312" w:hAnsi="仿宋_GB2312" w:eastAsia="仿宋_GB2312" w:cs="仿宋_GB2312"/>
          <w:color w:val="555555"/>
          <w:sz w:val="32"/>
          <w:szCs w:val="32"/>
        </w:rPr>
        <w:t>交易场所及其分支机构在完成商事登记之日起6个月内，提供以下材料报市级行业主管部门进行依法查验，市级行业主管部门出具现场查验意见并报联席会议办公室备案。</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（一）股东大会相关决议；</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w:t>
      </w:r>
      <w:r>
        <w:rPr>
          <w:rFonts w:hint="eastAsia" w:ascii="Calibri" w:hAnsi="Calibri" w:eastAsia="仿宋_GB2312" w:cs="Calibri"/>
          <w:color w:val="555555"/>
          <w:sz w:val="32"/>
          <w:szCs w:val="32"/>
          <w:lang w:eastAsia="zh-CN"/>
        </w:rPr>
        <w:t>二</w:t>
      </w:r>
      <w:r>
        <w:rPr>
          <w:rFonts w:hint="eastAsia" w:ascii="Calibri" w:hAnsi="Calibri" w:eastAsia="仿宋_GB2312" w:cs="Calibri"/>
          <w:color w:val="555555"/>
          <w:sz w:val="32"/>
          <w:szCs w:val="32"/>
        </w:rPr>
        <w:t>）法定验资机构出具的验资报告；</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w:t>
      </w:r>
      <w:r>
        <w:rPr>
          <w:rFonts w:hint="eastAsia" w:ascii="Calibri" w:hAnsi="Calibri" w:eastAsia="仿宋_GB2312" w:cs="Calibri"/>
          <w:color w:val="555555"/>
          <w:sz w:val="32"/>
          <w:szCs w:val="32"/>
          <w:lang w:eastAsia="zh-CN"/>
        </w:rPr>
        <w:t>三</w:t>
      </w:r>
      <w:r>
        <w:rPr>
          <w:rFonts w:hint="eastAsia" w:ascii="Calibri" w:hAnsi="Calibri" w:eastAsia="仿宋_GB2312" w:cs="Calibri"/>
          <w:color w:val="555555"/>
          <w:sz w:val="32"/>
          <w:szCs w:val="32"/>
        </w:rPr>
        <w:t>）银行账户开户信息、客户资金存</w:t>
      </w:r>
      <w:r>
        <w:rPr>
          <w:rFonts w:hint="eastAsia" w:ascii="Calibri" w:hAnsi="Calibri" w:eastAsia="仿宋_GB2312" w:cs="Calibri"/>
          <w:color w:val="555555"/>
          <w:sz w:val="32"/>
          <w:szCs w:val="32"/>
          <w:highlight w:val="none"/>
        </w:rPr>
        <w:t>管或托管协议；</w:t>
      </w:r>
    </w:p>
    <w:p>
      <w:pPr>
        <w:pStyle w:val="7"/>
        <w:spacing w:before="0" w:beforeAutospacing="0" w:after="0" w:afterAutospacing="0" w:line="560" w:lineRule="exact"/>
        <w:ind w:firstLine="640" w:firstLineChars="200"/>
        <w:rPr>
          <w:rFonts w:ascii="Calibri" w:hAnsi="Calibri" w:eastAsia="仿宋_GB2312" w:cs="Calibri"/>
          <w:color w:val="555555"/>
          <w:sz w:val="32"/>
          <w:szCs w:val="32"/>
        </w:rPr>
      </w:pPr>
      <w:r>
        <w:rPr>
          <w:rFonts w:hint="eastAsia" w:ascii="Calibri" w:hAnsi="Calibri" w:eastAsia="仿宋_GB2312" w:cs="Calibri"/>
          <w:color w:val="555555"/>
          <w:sz w:val="32"/>
          <w:szCs w:val="32"/>
        </w:rPr>
        <w:t>（</w:t>
      </w:r>
      <w:r>
        <w:rPr>
          <w:rFonts w:hint="eastAsia" w:ascii="Calibri" w:hAnsi="Calibri" w:eastAsia="仿宋_GB2312" w:cs="Calibri"/>
          <w:color w:val="555555"/>
          <w:sz w:val="32"/>
          <w:szCs w:val="32"/>
          <w:lang w:eastAsia="zh-CN"/>
        </w:rPr>
        <w:t>四</w:t>
      </w:r>
      <w:r>
        <w:rPr>
          <w:rFonts w:hint="eastAsia" w:ascii="Calibri" w:hAnsi="Calibri" w:eastAsia="仿宋_GB2312" w:cs="Calibri"/>
          <w:color w:val="555555"/>
          <w:sz w:val="32"/>
          <w:szCs w:val="32"/>
        </w:rPr>
        <w:t>）交易系统检测报告。</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lang w:eastAsia="zh-CN"/>
        </w:rPr>
        <w:t>查验未予通过</w:t>
      </w:r>
      <w:r>
        <w:rPr>
          <w:rFonts w:hint="eastAsia" w:ascii="仿宋_GB2312" w:hAnsi="仿宋_GB2312" w:eastAsia="仿宋_GB2312" w:cs="仿宋_GB2312"/>
          <w:color w:val="555555"/>
          <w:sz w:val="32"/>
          <w:szCs w:val="32"/>
        </w:rPr>
        <w:t>或查验合格后超过6个月未开业的，市级行业主管部门</w:t>
      </w:r>
      <w:r>
        <w:rPr>
          <w:rFonts w:hint="eastAsia" w:ascii="仿宋_GB2312" w:hAnsi="仿宋_GB2312" w:eastAsia="仿宋_GB2312" w:cs="仿宋_GB2312"/>
          <w:color w:val="555555"/>
          <w:sz w:val="32"/>
          <w:szCs w:val="32"/>
          <w:lang w:eastAsia="zh-CN"/>
        </w:rPr>
        <w:t>应</w:t>
      </w:r>
      <w:r>
        <w:rPr>
          <w:rFonts w:hint="eastAsia" w:ascii="仿宋_GB2312" w:hAnsi="仿宋_GB2312" w:eastAsia="仿宋_GB2312" w:cs="仿宋_GB2312"/>
          <w:color w:val="555555"/>
          <w:sz w:val="32"/>
          <w:szCs w:val="32"/>
        </w:rPr>
        <w:t>及时将线索移交市</w:t>
      </w:r>
      <w:r>
        <w:rPr>
          <w:rFonts w:hint="eastAsia" w:ascii="仿宋_GB2312" w:hAnsi="仿宋_GB2312" w:eastAsia="仿宋_GB2312" w:cs="仿宋_GB2312"/>
          <w:color w:val="555555"/>
          <w:sz w:val="32"/>
          <w:szCs w:val="32"/>
          <w:lang w:eastAsia="zh-CN"/>
        </w:rPr>
        <w:t>市场监管部门</w:t>
      </w:r>
      <w:r>
        <w:rPr>
          <w:rFonts w:hint="eastAsia" w:ascii="仿宋_GB2312" w:hAnsi="仿宋_GB2312" w:eastAsia="仿宋_GB2312" w:cs="仿宋_GB2312"/>
          <w:color w:val="555555"/>
          <w:sz w:val="32"/>
          <w:szCs w:val="32"/>
        </w:rPr>
        <w:t>依法处置，并可以根据实际</w:t>
      </w:r>
      <w:r>
        <w:rPr>
          <w:rFonts w:hint="eastAsia" w:ascii="仿宋_GB2312" w:hAnsi="仿宋_GB2312" w:eastAsia="仿宋_GB2312" w:cs="仿宋_GB2312"/>
          <w:color w:val="555555"/>
          <w:sz w:val="32"/>
          <w:szCs w:val="32"/>
          <w:lang w:eastAsia="zh-CN"/>
        </w:rPr>
        <w:t>情况</w:t>
      </w:r>
      <w:r>
        <w:rPr>
          <w:rFonts w:hint="eastAsia" w:ascii="仿宋_GB2312" w:hAnsi="仿宋_GB2312" w:eastAsia="仿宋_GB2312" w:cs="仿宋_GB2312"/>
          <w:color w:val="555555"/>
          <w:sz w:val="32"/>
          <w:szCs w:val="32"/>
        </w:rPr>
        <w:t>提请市</w:t>
      </w:r>
      <w:r>
        <w:rPr>
          <w:rFonts w:hint="eastAsia" w:ascii="仿宋_GB2312" w:hAnsi="仿宋_GB2312" w:eastAsia="仿宋_GB2312" w:cs="仿宋_GB2312"/>
          <w:color w:val="555555"/>
          <w:sz w:val="32"/>
          <w:szCs w:val="32"/>
          <w:lang w:eastAsia="zh-CN"/>
        </w:rPr>
        <w:t>市场监管部门</w:t>
      </w:r>
      <w:r>
        <w:rPr>
          <w:rFonts w:hint="eastAsia" w:ascii="仿宋_GB2312" w:hAnsi="仿宋_GB2312" w:eastAsia="仿宋_GB2312" w:cs="仿宋_GB2312"/>
          <w:color w:val="555555"/>
          <w:sz w:val="32"/>
          <w:szCs w:val="32"/>
        </w:rPr>
        <w:t>依法吊销营业执照。</w:t>
      </w:r>
    </w:p>
    <w:p>
      <w:pPr>
        <w:pStyle w:val="7"/>
        <w:spacing w:before="0" w:beforeAutospacing="0" w:after="0" w:afterAutospacing="0" w:line="560" w:lineRule="exact"/>
        <w:ind w:firstLine="643" w:firstLineChars="200"/>
        <w:jc w:val="both"/>
        <w:rPr>
          <w:rFonts w:hint="eastAsia" w:ascii="Calibri" w:hAnsi="Calibri" w:eastAsia="仿宋_GB2312" w:cs="Calibri"/>
          <w:color w:val="555555"/>
          <w:sz w:val="32"/>
          <w:szCs w:val="32"/>
          <w:highlight w:val="none"/>
          <w:lang w:eastAsia="zh-CN"/>
        </w:rPr>
      </w:pPr>
      <w:r>
        <w:rPr>
          <w:rFonts w:hint="eastAsia" w:ascii="仿宋_GB2312" w:hAnsi="仿宋_GB2312" w:eastAsia="仿宋_GB2312" w:cs="仿宋_GB2312"/>
          <w:b/>
          <w:bCs/>
          <w:color w:val="555555"/>
          <w:sz w:val="32"/>
          <w:szCs w:val="32"/>
        </w:rPr>
        <w:t>第十七条【变更审批</w:t>
      </w:r>
      <w:r>
        <w:rPr>
          <w:rFonts w:hint="eastAsia" w:ascii="仿宋_GB2312" w:hAnsi="仿宋_GB2312" w:eastAsia="仿宋_GB2312" w:cs="仿宋_GB2312"/>
          <w:b/>
          <w:bCs/>
          <w:color w:val="555555"/>
          <w:sz w:val="32"/>
          <w:szCs w:val="32"/>
          <w:lang w:eastAsia="zh-CN"/>
        </w:rPr>
        <w:t>事项</w:t>
      </w:r>
      <w:r>
        <w:rPr>
          <w:rFonts w:hint="eastAsia" w:ascii="仿宋_GB2312" w:hAnsi="仿宋_GB2312" w:eastAsia="仿宋_GB2312" w:cs="仿宋_GB2312"/>
          <w:b/>
          <w:bCs/>
          <w:color w:val="555555"/>
          <w:sz w:val="32"/>
          <w:szCs w:val="32"/>
        </w:rPr>
        <w:t>】</w:t>
      </w:r>
      <w:r>
        <w:rPr>
          <w:rFonts w:hint="eastAsia" w:ascii="Calibri" w:hAnsi="Calibri" w:eastAsia="仿宋_GB2312" w:cs="Calibri"/>
          <w:color w:val="555555"/>
          <w:sz w:val="32"/>
          <w:szCs w:val="32"/>
          <w:lang w:eastAsia="zh-CN"/>
        </w:rPr>
        <w:t>交易场所变更以下事项之一的，应事先报市级行业主管部门同意。市级行业主管部门同意的，应当出具同意意见并抄送联席会议</w:t>
      </w:r>
      <w:r>
        <w:rPr>
          <w:rFonts w:hint="eastAsia" w:ascii="Calibri" w:hAnsi="Calibri" w:eastAsia="仿宋_GB2312" w:cs="Calibri"/>
          <w:color w:val="555555"/>
          <w:sz w:val="32"/>
          <w:szCs w:val="32"/>
        </w:rPr>
        <w:t>办公室和交易场所</w:t>
      </w:r>
      <w:r>
        <w:rPr>
          <w:rFonts w:hint="eastAsia" w:ascii="Calibri" w:hAnsi="Calibri" w:eastAsia="仿宋_GB2312" w:cs="Calibri"/>
          <w:color w:val="555555"/>
          <w:sz w:val="32"/>
          <w:szCs w:val="32"/>
          <w:highlight w:val="none"/>
          <w:lang w:eastAsia="zh-CN"/>
        </w:rPr>
        <w:t>注册地区政府：</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（一）变更名称;</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（二）变更经营范围；</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（三）新增或变更交易品种;</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（四）变更交易规则、交易模式；</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（五）变更交易信息系统（如更换开发商开发新系统等）;</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（六）变更注册资本;</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（七）变更股东、实际控制人；</w:t>
      </w:r>
    </w:p>
    <w:p>
      <w:pPr>
        <w:pStyle w:val="7"/>
        <w:spacing w:before="0" w:beforeAutospacing="0" w:after="0" w:afterAutospacing="0" w:line="560" w:lineRule="exact"/>
        <w:ind w:firstLine="640" w:firstLineChars="200"/>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（八）变更住所或分支机构营业场所;</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（九）变更法定代表人、董事长（执行董事）、总经理、监事长和分支机构负责人；</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（十）撤销分支机构；</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（十一）</w:t>
      </w:r>
      <w:r>
        <w:rPr>
          <w:rFonts w:hint="eastAsia" w:ascii="仿宋_GB2312" w:hAnsi="仿宋_GB2312" w:eastAsia="仿宋_GB2312" w:cs="仿宋_GB2312"/>
          <w:color w:val="555555"/>
          <w:sz w:val="32"/>
          <w:szCs w:val="32"/>
          <w:lang w:eastAsia="zh-CN"/>
        </w:rPr>
        <w:t>其他可能对交易场所运营及管理造成重大影响的变更事项。</w:t>
      </w:r>
    </w:p>
    <w:p>
      <w:pPr>
        <w:pStyle w:val="7"/>
        <w:spacing w:before="0" w:beforeAutospacing="0" w:after="0" w:afterAutospacing="0" w:line="560" w:lineRule="exact"/>
        <w:ind w:firstLine="640" w:firstLineChars="200"/>
        <w:rPr>
          <w:rFonts w:hint="eastAsia" w:ascii="Calibri" w:hAnsi="Calibri" w:eastAsia="仿宋_GB2312" w:cs="Calibri"/>
          <w:color w:val="555555"/>
          <w:sz w:val="32"/>
          <w:szCs w:val="32"/>
          <w:lang w:eastAsia="zh-CN"/>
        </w:rPr>
      </w:pPr>
      <w:r>
        <w:rPr>
          <w:rFonts w:hint="eastAsia" w:ascii="Calibri" w:hAnsi="Calibri" w:eastAsia="仿宋_GB2312" w:cs="Calibri"/>
          <w:color w:val="555555"/>
          <w:sz w:val="32"/>
          <w:szCs w:val="32"/>
          <w:lang w:eastAsia="zh-CN"/>
        </w:rPr>
        <w:t>交易场所开展</w:t>
      </w:r>
      <w:r>
        <w:rPr>
          <w:rFonts w:hint="eastAsia" w:ascii="Calibri" w:hAnsi="Calibri" w:eastAsia="仿宋_GB2312" w:cs="Calibri"/>
          <w:color w:val="555555"/>
          <w:sz w:val="32"/>
          <w:szCs w:val="32"/>
        </w:rPr>
        <w:t>风险处置或</w:t>
      </w:r>
      <w:r>
        <w:rPr>
          <w:rFonts w:hint="eastAsia" w:ascii="Calibri" w:hAnsi="Calibri" w:eastAsia="仿宋_GB2312" w:cs="Calibri"/>
          <w:color w:val="555555"/>
          <w:sz w:val="32"/>
          <w:szCs w:val="32"/>
          <w:lang w:eastAsia="zh-CN"/>
        </w:rPr>
        <w:t>业务</w:t>
      </w:r>
      <w:r>
        <w:rPr>
          <w:rFonts w:hint="eastAsia" w:ascii="Calibri" w:hAnsi="Calibri" w:eastAsia="仿宋_GB2312" w:cs="Calibri"/>
          <w:color w:val="555555"/>
          <w:sz w:val="32"/>
          <w:szCs w:val="32"/>
        </w:rPr>
        <w:t>整改期间，原则上暂停</w:t>
      </w:r>
      <w:r>
        <w:rPr>
          <w:rFonts w:hint="eastAsia" w:ascii="Calibri" w:hAnsi="Calibri" w:eastAsia="仿宋_GB2312" w:cs="Calibri"/>
          <w:color w:val="555555"/>
          <w:sz w:val="32"/>
          <w:szCs w:val="32"/>
          <w:lang w:eastAsia="zh-CN"/>
        </w:rPr>
        <w:t>上述变更事项审批。</w:t>
      </w:r>
    </w:p>
    <w:p>
      <w:pPr>
        <w:pStyle w:val="7"/>
        <w:spacing w:before="0" w:beforeAutospacing="0" w:after="0" w:afterAutospacing="0" w:line="560" w:lineRule="exact"/>
        <w:ind w:firstLine="640" w:firstLineChars="200"/>
        <w:rPr>
          <w:rFonts w:hint="eastAsia" w:ascii="Calibri" w:hAnsi="Calibri" w:eastAsia="仿宋_GB2312" w:cs="Calibri"/>
          <w:color w:val="555555"/>
          <w:sz w:val="32"/>
          <w:szCs w:val="32"/>
        </w:rPr>
      </w:pPr>
      <w:r>
        <w:rPr>
          <w:rFonts w:hint="eastAsia" w:ascii="Calibri" w:hAnsi="Calibri" w:eastAsia="仿宋_GB2312" w:cs="Calibri"/>
          <w:color w:val="555555"/>
          <w:sz w:val="32"/>
          <w:szCs w:val="32"/>
        </w:rPr>
        <w:t>上述变更事项，如</w:t>
      </w:r>
      <w:r>
        <w:rPr>
          <w:rFonts w:hint="eastAsia" w:ascii="Calibri" w:hAnsi="Calibri" w:eastAsia="仿宋_GB2312" w:cs="Calibri"/>
          <w:color w:val="555555"/>
          <w:sz w:val="32"/>
          <w:szCs w:val="32"/>
          <w:lang w:eastAsia="zh-CN"/>
        </w:rPr>
        <w:t>涉及交易场所类别或行业主管部门调整，或</w:t>
      </w:r>
      <w:r>
        <w:rPr>
          <w:rFonts w:hint="eastAsia" w:ascii="Calibri" w:hAnsi="Calibri" w:eastAsia="仿宋_GB2312" w:cs="Calibri"/>
          <w:color w:val="555555"/>
          <w:sz w:val="32"/>
          <w:szCs w:val="32"/>
        </w:rPr>
        <w:t>对交易场所设立条件构成重大影响</w:t>
      </w:r>
      <w:r>
        <w:rPr>
          <w:rFonts w:hint="eastAsia" w:ascii="Calibri" w:hAnsi="Calibri" w:eastAsia="仿宋_GB2312" w:cs="Calibri"/>
          <w:color w:val="555555"/>
          <w:sz w:val="32"/>
          <w:szCs w:val="32"/>
          <w:lang w:eastAsia="zh-CN"/>
        </w:rPr>
        <w:t>的，应由市级行业主管部门受理并提出评估意见后，报</w:t>
      </w:r>
      <w:r>
        <w:rPr>
          <w:rFonts w:hint="eastAsia" w:ascii="Calibri" w:hAnsi="Calibri" w:eastAsia="仿宋_GB2312" w:cs="Calibri"/>
          <w:color w:val="555555"/>
          <w:sz w:val="32"/>
          <w:szCs w:val="32"/>
          <w:lang w:val="en-US" w:eastAsia="zh-CN"/>
        </w:rPr>
        <w:t>联席会议确定</w:t>
      </w:r>
      <w:r>
        <w:rPr>
          <w:rFonts w:hint="eastAsia" w:ascii="Calibri" w:hAnsi="Calibri" w:eastAsia="仿宋_GB2312" w:cs="Calibri"/>
          <w:color w:val="555555"/>
          <w:sz w:val="32"/>
          <w:szCs w:val="32"/>
          <w:lang w:eastAsia="zh-CN"/>
        </w:rPr>
        <w:t>；如</w:t>
      </w:r>
      <w:r>
        <w:rPr>
          <w:rFonts w:hint="eastAsia" w:ascii="Calibri" w:hAnsi="Calibri" w:eastAsia="仿宋_GB2312" w:cs="Calibri"/>
          <w:color w:val="555555"/>
          <w:sz w:val="32"/>
          <w:szCs w:val="32"/>
        </w:rPr>
        <w:t>涉及办理工商手续</w:t>
      </w:r>
      <w:r>
        <w:rPr>
          <w:rFonts w:hint="eastAsia" w:ascii="Calibri" w:hAnsi="Calibri" w:eastAsia="仿宋_GB2312" w:cs="Calibri"/>
          <w:color w:val="555555"/>
          <w:sz w:val="32"/>
          <w:szCs w:val="32"/>
          <w:highlight w:val="none"/>
        </w:rPr>
        <w:t>的，</w:t>
      </w:r>
      <w:r>
        <w:rPr>
          <w:rFonts w:hint="eastAsia" w:ascii="Calibri" w:hAnsi="Calibri" w:eastAsia="仿宋_GB2312" w:cs="Calibri"/>
          <w:color w:val="555555"/>
          <w:sz w:val="32"/>
          <w:szCs w:val="32"/>
          <w:highlight w:val="none"/>
          <w:lang w:eastAsia="zh-CN"/>
        </w:rPr>
        <w:t>申请人须持相应批准文件，</w:t>
      </w:r>
      <w:r>
        <w:rPr>
          <w:rFonts w:hint="eastAsia" w:ascii="Calibri" w:hAnsi="Calibri" w:eastAsia="仿宋_GB2312" w:cs="Calibri"/>
          <w:color w:val="555555"/>
          <w:sz w:val="32"/>
          <w:szCs w:val="32"/>
          <w:highlight w:val="none"/>
        </w:rPr>
        <w:t>依法</w:t>
      </w:r>
      <w:r>
        <w:rPr>
          <w:rFonts w:hint="eastAsia" w:ascii="Calibri" w:hAnsi="Calibri" w:eastAsia="仿宋_GB2312" w:cs="Calibri"/>
          <w:color w:val="555555"/>
          <w:sz w:val="32"/>
          <w:szCs w:val="32"/>
          <w:highlight w:val="none"/>
          <w:lang w:eastAsia="zh-CN"/>
        </w:rPr>
        <w:t>向</w:t>
      </w:r>
      <w:r>
        <w:rPr>
          <w:rFonts w:hint="eastAsia" w:ascii="Calibri" w:hAnsi="Calibri" w:eastAsia="仿宋_GB2312" w:cs="Calibri"/>
          <w:color w:val="555555"/>
          <w:sz w:val="32"/>
          <w:szCs w:val="32"/>
          <w:highlight w:val="none"/>
          <w:lang w:eastAsia="zh-CN"/>
        </w:rPr>
        <w:t>市场监管部门</w:t>
      </w:r>
      <w:r>
        <w:rPr>
          <w:rFonts w:hint="eastAsia" w:ascii="Calibri" w:hAnsi="Calibri" w:eastAsia="仿宋_GB2312" w:cs="Calibri"/>
          <w:color w:val="555555"/>
          <w:sz w:val="32"/>
          <w:szCs w:val="32"/>
          <w:highlight w:val="none"/>
          <w:lang w:eastAsia="zh-CN"/>
        </w:rPr>
        <w:t>申</w:t>
      </w:r>
      <w:r>
        <w:rPr>
          <w:rFonts w:hint="eastAsia" w:ascii="Calibri" w:hAnsi="Calibri" w:eastAsia="仿宋_GB2312" w:cs="Calibri"/>
          <w:color w:val="555555"/>
          <w:sz w:val="32"/>
          <w:szCs w:val="32"/>
          <w:lang w:eastAsia="zh-CN"/>
        </w:rPr>
        <w:t>请</w:t>
      </w:r>
      <w:r>
        <w:rPr>
          <w:rFonts w:hint="eastAsia" w:ascii="Calibri" w:hAnsi="Calibri" w:eastAsia="仿宋_GB2312" w:cs="Calibri"/>
          <w:color w:val="555555"/>
          <w:sz w:val="32"/>
          <w:szCs w:val="32"/>
        </w:rPr>
        <w:t>办理。</w:t>
      </w:r>
    </w:p>
    <w:p>
      <w:pPr>
        <w:pStyle w:val="7"/>
        <w:spacing w:before="0" w:beforeAutospacing="0" w:after="0" w:afterAutospacing="0" w:line="560" w:lineRule="exact"/>
        <w:ind w:firstLine="643" w:firstLineChars="200"/>
        <w:rPr>
          <w:rFonts w:ascii="Calibri" w:hAnsi="Calibri" w:eastAsia="仿宋_GB2312" w:cs="Calibri"/>
          <w:color w:val="555555"/>
          <w:sz w:val="32"/>
          <w:szCs w:val="32"/>
        </w:rPr>
      </w:pPr>
      <w:r>
        <w:rPr>
          <w:rFonts w:hint="eastAsia" w:ascii="仿宋_GB2312" w:hAnsi="仿宋_GB2312" w:eastAsia="仿宋_GB2312" w:cs="仿宋_GB2312"/>
          <w:b/>
          <w:bCs/>
          <w:kern w:val="2"/>
          <w:sz w:val="32"/>
          <w:szCs w:val="32"/>
        </w:rPr>
        <w:t>第十八条【变更报备事项】</w:t>
      </w:r>
      <w:r>
        <w:rPr>
          <w:rFonts w:hint="eastAsia" w:ascii="仿宋_GB2312" w:hAnsi="仿宋_GB2312" w:eastAsia="仿宋_GB2312" w:cs="仿宋_GB2312"/>
          <w:color w:val="555555"/>
          <w:sz w:val="32"/>
          <w:szCs w:val="32"/>
        </w:rPr>
        <w:t>交易场所有下列变更事项之一的，应当在事项发生后10个工作日内报市级行业主管部门备案，并抄送联席会议办公室和交易场所</w:t>
      </w:r>
      <w:r>
        <w:rPr>
          <w:rFonts w:hint="eastAsia" w:ascii="仿宋_GB2312" w:hAnsi="仿宋_GB2312" w:eastAsia="仿宋_GB2312" w:cs="仿宋_GB2312"/>
          <w:color w:val="555555"/>
          <w:sz w:val="32"/>
          <w:szCs w:val="32"/>
          <w:lang w:eastAsia="zh-CN"/>
        </w:rPr>
        <w:t>注册地区政府</w:t>
      </w:r>
      <w:r>
        <w:rPr>
          <w:rFonts w:hint="eastAsia" w:ascii="仿宋_GB2312" w:hAnsi="仿宋_GB2312" w:eastAsia="仿宋_GB2312" w:cs="仿宋_GB2312"/>
          <w:color w:val="555555"/>
          <w:sz w:val="32"/>
          <w:szCs w:val="32"/>
        </w:rPr>
        <w:t>：</w:t>
      </w:r>
    </w:p>
    <w:p>
      <w:pPr>
        <w:numPr>
          <w:ilvl w:val="0"/>
          <w:numId w:val="1"/>
        </w:numPr>
        <w:spacing w:line="560" w:lineRule="exact"/>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变更客户资金存管或托管协议；</w:t>
      </w:r>
    </w:p>
    <w:p>
      <w:pPr>
        <w:numPr>
          <w:ilvl w:val="0"/>
          <w:numId w:val="1"/>
        </w:numPr>
        <w:spacing w:line="560" w:lineRule="exact"/>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变更其他董事、监事、高级管理人员以及财务、风控等重要部门负责人；</w:t>
      </w:r>
    </w:p>
    <w:p>
      <w:pPr>
        <w:numPr>
          <w:ilvl w:val="0"/>
          <w:numId w:val="1"/>
        </w:numPr>
        <w:spacing w:line="560" w:lineRule="exact"/>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修改章程、风控等管理制度</w:t>
      </w:r>
      <w:r>
        <w:rPr>
          <w:rFonts w:hint="eastAsia" w:ascii="仿宋_GB2312" w:hAnsi="仿宋_GB2312" w:eastAsia="仿宋_GB2312" w:cs="仿宋_GB2312"/>
          <w:color w:val="555555"/>
          <w:kern w:val="0"/>
          <w:sz w:val="32"/>
          <w:szCs w:val="32"/>
          <w:lang w:eastAsia="zh-CN"/>
        </w:rPr>
        <w:t>；</w:t>
      </w:r>
    </w:p>
    <w:p>
      <w:pPr>
        <w:numPr>
          <w:ilvl w:val="0"/>
          <w:numId w:val="1"/>
        </w:numPr>
        <w:spacing w:line="560" w:lineRule="exact"/>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sz w:val="32"/>
          <w:szCs w:val="32"/>
        </w:rPr>
        <w:t>对外开展合作经营</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对外投资</w:t>
      </w:r>
      <w:r>
        <w:rPr>
          <w:rFonts w:hint="eastAsia" w:ascii="仿宋_GB2312" w:hAnsi="仿宋_GB2312" w:eastAsia="仿宋_GB2312" w:cs="仿宋_GB2312"/>
          <w:color w:val="555555"/>
          <w:sz w:val="32"/>
          <w:szCs w:val="32"/>
          <w:lang w:eastAsia="zh-CN"/>
        </w:rPr>
        <w:t>。</w:t>
      </w:r>
    </w:p>
    <w:p>
      <w:pPr>
        <w:pStyle w:val="7"/>
        <w:spacing w:before="0" w:beforeAutospacing="0" w:after="0" w:afterAutospacing="0" w:line="560" w:lineRule="exact"/>
        <w:ind w:firstLine="643" w:firstLineChars="200"/>
        <w:jc w:val="both"/>
        <w:rPr>
          <w:rStyle w:val="11"/>
          <w:rFonts w:ascii="仿宋_GB2312" w:hAnsi="仿宋_GB2312" w:eastAsia="仿宋_GB2312" w:cs="仿宋_GB2312"/>
          <w:color w:val="555555"/>
          <w:sz w:val="32"/>
          <w:szCs w:val="32"/>
        </w:rPr>
      </w:pPr>
      <w:r>
        <w:rPr>
          <w:rStyle w:val="11"/>
          <w:rFonts w:hint="eastAsia" w:ascii="仿宋_GB2312" w:hAnsi="仿宋_GB2312" w:eastAsia="仿宋_GB2312" w:cs="仿宋_GB2312"/>
          <w:b/>
          <w:bCs/>
          <w:color w:val="555555"/>
          <w:sz w:val="32"/>
          <w:szCs w:val="32"/>
        </w:rPr>
        <w:t>第十九条【股权限制】</w:t>
      </w:r>
      <w:r>
        <w:rPr>
          <w:rStyle w:val="11"/>
          <w:rFonts w:hint="eastAsia" w:ascii="仿宋_GB2312" w:hAnsi="仿宋_GB2312" w:eastAsia="仿宋_GB2312" w:cs="仿宋_GB2312"/>
          <w:b w:val="0"/>
          <w:bCs w:val="0"/>
          <w:color w:val="555555"/>
          <w:sz w:val="32"/>
          <w:szCs w:val="32"/>
          <w:lang w:eastAsia="zh-CN"/>
        </w:rPr>
        <w:t>鼓励</w:t>
      </w:r>
      <w:r>
        <w:rPr>
          <w:rStyle w:val="11"/>
          <w:rFonts w:hint="eastAsia" w:ascii="仿宋_GB2312" w:hAnsi="仿宋_GB2312" w:eastAsia="仿宋_GB2312" w:cs="仿宋_GB2312"/>
          <w:color w:val="555555"/>
          <w:sz w:val="32"/>
          <w:szCs w:val="32"/>
        </w:rPr>
        <w:t>交易场所主发起人承诺持有的股权自交易场所成立之日起5年内不转让，其他股东持有的股权3年内不转让。拟承接股权的出资人应符合本办法相关条件要求。交易场所控制权发生变更的，有关各方应采取有效措施保持交易场所在过渡期间内稳定经营。</w:t>
      </w:r>
    </w:p>
    <w:p>
      <w:pPr>
        <w:pStyle w:val="7"/>
        <w:spacing w:before="0" w:beforeAutospacing="0" w:after="0" w:afterAutospacing="0" w:line="560" w:lineRule="exact"/>
        <w:ind w:firstLine="640" w:firstLineChars="200"/>
        <w:jc w:val="both"/>
        <w:rPr>
          <w:rStyle w:val="11"/>
          <w:rFonts w:hint="eastAsia" w:ascii="仿宋_GB2312" w:hAnsi="仿宋_GB2312" w:eastAsia="仿宋_GB2312" w:cs="仿宋_GB2312"/>
          <w:color w:val="555555"/>
          <w:sz w:val="32"/>
          <w:szCs w:val="32"/>
          <w:highlight w:val="none"/>
        </w:rPr>
      </w:pPr>
      <w:r>
        <w:rPr>
          <w:rStyle w:val="11"/>
          <w:rFonts w:hint="eastAsia" w:ascii="仿宋_GB2312" w:hAnsi="仿宋_GB2312" w:eastAsia="仿宋_GB2312" w:cs="仿宋_GB2312"/>
          <w:color w:val="555555"/>
          <w:sz w:val="32"/>
          <w:szCs w:val="32"/>
          <w:highlight w:val="none"/>
        </w:rPr>
        <w:t>交易场所股东</w:t>
      </w:r>
      <w:r>
        <w:rPr>
          <w:rStyle w:val="11"/>
          <w:rFonts w:hint="eastAsia" w:ascii="仿宋_GB2312" w:hAnsi="仿宋_GB2312" w:eastAsia="仿宋_GB2312" w:cs="仿宋_GB2312"/>
          <w:color w:val="555555"/>
          <w:sz w:val="32"/>
          <w:szCs w:val="32"/>
          <w:highlight w:val="none"/>
          <w:lang w:eastAsia="zh-CN"/>
        </w:rPr>
        <w:t>应审慎</w:t>
      </w:r>
      <w:r>
        <w:rPr>
          <w:rStyle w:val="11"/>
          <w:rFonts w:hint="eastAsia" w:ascii="仿宋_GB2312" w:hAnsi="仿宋_GB2312" w:eastAsia="仿宋_GB2312" w:cs="仿宋_GB2312"/>
          <w:color w:val="555555"/>
          <w:sz w:val="32"/>
          <w:szCs w:val="32"/>
          <w:highlight w:val="none"/>
        </w:rPr>
        <w:t>以持有的股权对外提供担保</w:t>
      </w:r>
      <w:r>
        <w:rPr>
          <w:rStyle w:val="11"/>
          <w:rFonts w:hint="eastAsia" w:ascii="仿宋_GB2312" w:hAnsi="仿宋_GB2312" w:eastAsia="仿宋_GB2312" w:cs="仿宋_GB2312"/>
          <w:color w:val="555555"/>
          <w:sz w:val="32"/>
          <w:szCs w:val="32"/>
          <w:highlight w:val="none"/>
          <w:lang w:eastAsia="zh-CN"/>
        </w:rPr>
        <w:t>或融资</w:t>
      </w:r>
      <w:r>
        <w:rPr>
          <w:rStyle w:val="11"/>
          <w:rFonts w:hint="eastAsia" w:ascii="仿宋_GB2312" w:hAnsi="仿宋_GB2312" w:eastAsia="仿宋_GB2312" w:cs="仿宋_GB2312"/>
          <w:color w:val="555555"/>
          <w:sz w:val="32"/>
          <w:szCs w:val="32"/>
          <w:highlight w:val="none"/>
        </w:rPr>
        <w:t>。</w:t>
      </w:r>
    </w:p>
    <w:p>
      <w:pPr>
        <w:pStyle w:val="7"/>
        <w:spacing w:before="0" w:beforeAutospacing="0" w:after="0" w:afterAutospacing="0" w:line="560" w:lineRule="exact"/>
        <w:ind w:firstLine="643" w:firstLineChars="200"/>
        <w:rPr>
          <w:rStyle w:val="11"/>
          <w:rFonts w:hint="eastAsia" w:ascii="仿宋_GB2312" w:hAnsi="仿宋_GB2312" w:eastAsia="仿宋_GB2312" w:cs="仿宋_GB2312"/>
          <w:color w:val="555555"/>
          <w:sz w:val="32"/>
          <w:szCs w:val="32"/>
        </w:rPr>
      </w:pPr>
      <w:r>
        <w:rPr>
          <w:rStyle w:val="11"/>
          <w:rFonts w:hint="eastAsia" w:ascii="仿宋_GB2312" w:hAnsi="仿宋_GB2312" w:eastAsia="仿宋_GB2312" w:cs="仿宋_GB2312"/>
          <w:b/>
          <w:bCs/>
          <w:color w:val="555555"/>
          <w:sz w:val="32"/>
          <w:szCs w:val="32"/>
        </w:rPr>
        <w:t>第二十条</w:t>
      </w:r>
      <w:r>
        <w:rPr>
          <w:rStyle w:val="11"/>
          <w:rFonts w:hint="eastAsia" w:ascii="仿宋_GB2312" w:hAnsi="仿宋_GB2312" w:eastAsia="仿宋_GB2312" w:cs="仿宋_GB2312"/>
          <w:color w:val="555555"/>
          <w:sz w:val="32"/>
          <w:szCs w:val="32"/>
        </w:rPr>
        <w:t>【</w:t>
      </w:r>
      <w:r>
        <w:rPr>
          <w:rStyle w:val="11"/>
          <w:rFonts w:hint="eastAsia" w:ascii="仿宋_GB2312" w:hAnsi="仿宋_GB2312" w:eastAsia="仿宋_GB2312" w:cs="仿宋_GB2312"/>
          <w:b/>
          <w:bCs/>
          <w:color w:val="555555"/>
          <w:sz w:val="32"/>
          <w:szCs w:val="32"/>
        </w:rPr>
        <w:t>行业退出</w:t>
      </w:r>
      <w:r>
        <w:rPr>
          <w:rStyle w:val="11"/>
          <w:rFonts w:hint="eastAsia" w:ascii="仿宋_GB2312" w:hAnsi="仿宋_GB2312" w:eastAsia="仿宋_GB2312" w:cs="仿宋_GB2312"/>
          <w:color w:val="555555"/>
          <w:sz w:val="32"/>
          <w:szCs w:val="32"/>
        </w:rPr>
        <w:t>】交易场所拟终止提供交易平台服务的，应至少提前3个月向</w:t>
      </w:r>
      <w:r>
        <w:rPr>
          <w:rStyle w:val="11"/>
          <w:rFonts w:hint="eastAsia" w:ascii="仿宋_GB2312" w:hAnsi="仿宋_GB2312" w:eastAsia="仿宋_GB2312" w:cs="仿宋_GB2312"/>
          <w:color w:val="555555"/>
          <w:sz w:val="32"/>
          <w:szCs w:val="32"/>
          <w:lang w:eastAsia="zh-CN"/>
        </w:rPr>
        <w:t>市级行业主管</w:t>
      </w:r>
      <w:r>
        <w:rPr>
          <w:rStyle w:val="11"/>
          <w:rFonts w:hint="eastAsia" w:ascii="仿宋_GB2312" w:hAnsi="仿宋_GB2312" w:eastAsia="仿宋_GB2312" w:cs="仿宋_GB2312"/>
          <w:color w:val="555555"/>
          <w:sz w:val="32"/>
          <w:szCs w:val="32"/>
        </w:rPr>
        <w:t>部门和注册地区政府报告，告知交易主体及其他利益相关方，在媒体上公示退出公告及处置方案，妥善处理客户交易结算资金和其他资产，结清交易业务。市级行业主管部门应当对其制定的退出方案进行审查，报联席会议</w:t>
      </w:r>
      <w:r>
        <w:rPr>
          <w:rStyle w:val="11"/>
          <w:rFonts w:hint="eastAsia" w:ascii="仿宋_GB2312" w:hAnsi="仿宋_GB2312" w:eastAsia="仿宋_GB2312" w:cs="仿宋_GB2312"/>
          <w:color w:val="555555"/>
          <w:sz w:val="32"/>
          <w:szCs w:val="32"/>
          <w:lang w:eastAsia="zh-CN"/>
        </w:rPr>
        <w:t>确定</w:t>
      </w:r>
      <w:r>
        <w:rPr>
          <w:rStyle w:val="11"/>
          <w:rFonts w:hint="eastAsia" w:ascii="仿宋_GB2312" w:hAnsi="仿宋_GB2312" w:eastAsia="仿宋_GB2312" w:cs="仿宋_GB2312"/>
          <w:color w:val="555555"/>
          <w:sz w:val="32"/>
          <w:szCs w:val="32"/>
        </w:rPr>
        <w:t>后，依法取消其交易场所业务资格。</w:t>
      </w:r>
    </w:p>
    <w:p>
      <w:pPr>
        <w:pStyle w:val="7"/>
        <w:spacing w:before="0" w:beforeAutospacing="0" w:after="0" w:afterAutospacing="0" w:line="560" w:lineRule="exact"/>
        <w:ind w:firstLine="640" w:firstLineChars="200"/>
        <w:rPr>
          <w:rStyle w:val="11"/>
          <w:rFonts w:hint="eastAsia" w:ascii="仿宋_GB2312" w:hAnsi="仿宋_GB2312" w:eastAsia="仿宋_GB2312" w:cs="仿宋_GB2312"/>
          <w:color w:val="555555"/>
          <w:sz w:val="32"/>
          <w:szCs w:val="32"/>
          <w:lang w:eastAsia="zh-CN"/>
        </w:rPr>
      </w:pPr>
      <w:r>
        <w:rPr>
          <w:rFonts w:hint="eastAsia" w:ascii="仿宋_GB2312" w:hAnsi="仿宋_GB2312" w:eastAsia="仿宋_GB2312" w:cs="仿宋_GB2312"/>
          <w:color w:val="555555"/>
          <w:sz w:val="32"/>
          <w:szCs w:val="32"/>
          <w:lang w:eastAsia="zh-CN"/>
        </w:rPr>
        <w:t>交易场所</w:t>
      </w:r>
      <w:r>
        <w:rPr>
          <w:rFonts w:hint="eastAsia" w:ascii="仿宋_GB2312" w:hAnsi="仿宋_GB2312" w:eastAsia="仿宋_GB2312" w:cs="仿宋_GB2312"/>
          <w:color w:val="555555"/>
          <w:sz w:val="32"/>
          <w:szCs w:val="32"/>
        </w:rPr>
        <w:t>开业后自行停业</w:t>
      </w:r>
      <w:r>
        <w:rPr>
          <w:rFonts w:hint="eastAsia" w:ascii="仿宋_GB2312" w:hAnsi="仿宋_GB2312" w:eastAsia="仿宋_GB2312" w:cs="仿宋_GB2312"/>
          <w:color w:val="555555"/>
          <w:sz w:val="32"/>
          <w:szCs w:val="32"/>
          <w:lang w:eastAsia="zh-CN"/>
        </w:rPr>
        <w:t>或未从事交易场所业务</w:t>
      </w:r>
      <w:r>
        <w:rPr>
          <w:rFonts w:hint="eastAsia" w:ascii="仿宋_GB2312" w:hAnsi="仿宋_GB2312" w:eastAsia="仿宋_GB2312" w:cs="仿宋_GB2312"/>
          <w:color w:val="555555"/>
          <w:sz w:val="32"/>
          <w:szCs w:val="32"/>
        </w:rPr>
        <w:t>连续6个月以上的，</w:t>
      </w:r>
      <w:r>
        <w:rPr>
          <w:rFonts w:hint="eastAsia" w:ascii="仿宋_GB2312" w:hAnsi="仿宋_GB2312" w:eastAsia="仿宋_GB2312" w:cs="仿宋_GB2312"/>
          <w:color w:val="555555"/>
          <w:sz w:val="32"/>
          <w:szCs w:val="32"/>
          <w:lang w:eastAsia="zh-CN"/>
        </w:rPr>
        <w:t>或有重大违法违规行为、严重危害市场秩序、损害公众利益的，市级行业主管部门应当参照前款程序，取消其交易场所业务资格。</w:t>
      </w:r>
    </w:p>
    <w:p>
      <w:pPr>
        <w:pStyle w:val="7"/>
        <w:spacing w:before="0" w:beforeAutospacing="0" w:after="0" w:afterAutospacing="0" w:line="560" w:lineRule="exact"/>
        <w:ind w:firstLine="640" w:firstLineChars="200"/>
        <w:rPr>
          <w:rStyle w:val="11"/>
          <w:rFonts w:ascii="仿宋_GB2312" w:hAnsi="仿宋_GB2312" w:eastAsia="仿宋_GB2312" w:cs="仿宋_GB2312"/>
          <w:color w:val="555555"/>
          <w:sz w:val="32"/>
          <w:szCs w:val="32"/>
        </w:rPr>
      </w:pPr>
      <w:r>
        <w:rPr>
          <w:rStyle w:val="11"/>
          <w:rFonts w:hint="eastAsia" w:ascii="仿宋_GB2312" w:hAnsi="仿宋_GB2312" w:eastAsia="仿宋_GB2312" w:cs="仿宋_GB2312"/>
          <w:color w:val="555555"/>
          <w:sz w:val="32"/>
          <w:szCs w:val="32"/>
        </w:rPr>
        <w:t>交易场所被取消业务资格后，应当在1个月向</w:t>
      </w:r>
      <w:r>
        <w:rPr>
          <w:rStyle w:val="11"/>
          <w:rFonts w:hint="eastAsia" w:ascii="仿宋_GB2312" w:hAnsi="仿宋_GB2312" w:eastAsia="仿宋_GB2312" w:cs="仿宋_GB2312"/>
          <w:color w:val="555555"/>
          <w:sz w:val="32"/>
          <w:szCs w:val="32"/>
          <w:lang w:eastAsia="zh-CN"/>
        </w:rPr>
        <w:t>市场监管部门</w:t>
      </w:r>
      <w:r>
        <w:rPr>
          <w:rStyle w:val="11"/>
          <w:rFonts w:hint="eastAsia" w:ascii="仿宋_GB2312" w:hAnsi="仿宋_GB2312" w:eastAsia="仿宋_GB2312" w:cs="仿宋_GB2312"/>
          <w:color w:val="555555"/>
          <w:sz w:val="32"/>
          <w:szCs w:val="32"/>
        </w:rPr>
        <w:t>申请办理变更登记或注销登记</w:t>
      </w:r>
      <w:r>
        <w:rPr>
          <w:rStyle w:val="11"/>
          <w:rFonts w:hint="eastAsia" w:ascii="仿宋_GB2312" w:hAnsi="仿宋_GB2312" w:eastAsia="仿宋_GB2312" w:cs="仿宋_GB2312"/>
          <w:color w:val="555555"/>
          <w:sz w:val="32"/>
          <w:szCs w:val="32"/>
          <w:lang w:eastAsia="zh-CN"/>
        </w:rPr>
        <w:t>。市级行业主管部门应在门户网站或公开发行的报纸上进行公告，并在</w:t>
      </w:r>
      <w:r>
        <w:rPr>
          <w:rStyle w:val="11"/>
          <w:rFonts w:hint="eastAsia" w:ascii="仿宋_GB2312" w:hAnsi="仿宋_GB2312" w:eastAsia="仿宋_GB2312" w:cs="仿宋_GB2312"/>
          <w:color w:val="555555"/>
          <w:sz w:val="32"/>
          <w:szCs w:val="32"/>
          <w:lang w:val="en-US" w:eastAsia="zh-CN"/>
        </w:rPr>
        <w:t>10日内将相关信息推送至市场监管部门。</w:t>
      </w:r>
      <w:r>
        <w:rPr>
          <w:rStyle w:val="11"/>
          <w:rFonts w:hint="eastAsia" w:ascii="仿宋_GB2312" w:hAnsi="仿宋_GB2312" w:eastAsia="仿宋_GB2312" w:cs="仿宋_GB2312"/>
          <w:color w:val="555555"/>
          <w:sz w:val="32"/>
          <w:szCs w:val="32"/>
          <w:lang w:eastAsia="zh-CN"/>
        </w:rPr>
        <w:t>市场监管部门</w:t>
      </w:r>
      <w:r>
        <w:rPr>
          <w:rStyle w:val="11"/>
          <w:rFonts w:hint="eastAsia" w:ascii="仿宋_GB2312" w:hAnsi="仿宋_GB2312" w:eastAsia="仿宋_GB2312" w:cs="仿宋_GB2312"/>
          <w:color w:val="555555"/>
          <w:sz w:val="32"/>
          <w:szCs w:val="32"/>
        </w:rPr>
        <w:t>依法取消企业名称中含有的“交易中心”或“交易所”字样，核销企业经营交易场所的业务范围。市通信管理局协助办理网站、应用程序注销相关事宜。</w:t>
      </w:r>
    </w:p>
    <w:p>
      <w:pPr>
        <w:pStyle w:val="7"/>
        <w:spacing w:before="0" w:beforeAutospacing="0" w:after="0" w:afterAutospacing="0" w:line="560" w:lineRule="exact"/>
        <w:ind w:firstLine="643" w:firstLineChars="200"/>
        <w:rPr>
          <w:rStyle w:val="11"/>
          <w:rFonts w:ascii="仿宋_GB2312" w:hAnsi="仿宋_GB2312" w:eastAsia="仿宋_GB2312" w:cs="仿宋_GB2312"/>
          <w:color w:val="555555"/>
          <w:sz w:val="32"/>
          <w:szCs w:val="32"/>
        </w:rPr>
      </w:pPr>
      <w:r>
        <w:rPr>
          <w:rStyle w:val="11"/>
          <w:rFonts w:hint="eastAsia" w:ascii="仿宋_GB2312" w:hAnsi="仿宋_GB2312" w:eastAsia="仿宋_GB2312" w:cs="仿宋_GB2312"/>
          <w:b/>
          <w:bCs/>
          <w:color w:val="555555"/>
          <w:sz w:val="32"/>
          <w:szCs w:val="32"/>
        </w:rPr>
        <w:t>第二十一条【终止】</w:t>
      </w:r>
      <w:r>
        <w:rPr>
          <w:rStyle w:val="11"/>
          <w:rFonts w:hint="eastAsia" w:ascii="仿宋_GB2312" w:hAnsi="仿宋_GB2312" w:eastAsia="仿宋_GB2312" w:cs="仿宋_GB2312"/>
          <w:color w:val="555555"/>
          <w:sz w:val="32"/>
          <w:szCs w:val="32"/>
        </w:rPr>
        <w:t>交易场所的终止包括解散和破产两种情况。交易场所解散或被依法宣告破产的，应当按照相关法律法规进行清算。清算结束后，按规定向登记机关申请办理注销登记。</w:t>
      </w:r>
    </w:p>
    <w:p>
      <w:pPr>
        <w:pStyle w:val="7"/>
        <w:spacing w:before="0" w:beforeAutospacing="0" w:after="0" w:afterAutospacing="0" w:line="560" w:lineRule="exact"/>
        <w:ind w:firstLine="640" w:firstLineChars="200"/>
        <w:rPr>
          <w:rFonts w:ascii="仿宋_GB2312" w:hAnsi="仿宋_GB2312" w:eastAsia="仿宋_GB2312" w:cs="仿宋_GB2312"/>
          <w:color w:val="424242"/>
          <w:sz w:val="32"/>
          <w:szCs w:val="32"/>
        </w:rPr>
      </w:pPr>
    </w:p>
    <w:p>
      <w:pPr>
        <w:pStyle w:val="7"/>
        <w:numPr>
          <w:ilvl w:val="0"/>
          <w:numId w:val="2"/>
        </w:numPr>
        <w:spacing w:before="0" w:beforeAutospacing="0" w:after="0" w:afterAutospacing="0" w:line="560" w:lineRule="exact"/>
        <w:jc w:val="center"/>
        <w:rPr>
          <w:rFonts w:ascii="仿宋_GB2312" w:hAnsi="仿宋_GB2312" w:eastAsia="仿宋_GB2312" w:cs="仿宋_GB2312"/>
          <w:b/>
          <w:bCs/>
          <w:color w:val="555555"/>
          <w:sz w:val="32"/>
          <w:szCs w:val="32"/>
        </w:rPr>
      </w:pPr>
      <w:r>
        <w:rPr>
          <w:rFonts w:hint="eastAsia" w:ascii="仿宋_GB2312" w:hAnsi="仿宋_GB2312" w:eastAsia="仿宋_GB2312" w:cs="仿宋_GB2312"/>
          <w:b/>
          <w:bCs/>
          <w:color w:val="555555"/>
          <w:sz w:val="32"/>
          <w:szCs w:val="32"/>
        </w:rPr>
        <w:t> 合规经营</w:t>
      </w:r>
    </w:p>
    <w:p>
      <w:pPr>
        <w:pStyle w:val="7"/>
        <w:spacing w:before="0" w:beforeAutospacing="0" w:after="0" w:afterAutospacing="0" w:line="560" w:lineRule="exact"/>
        <w:ind w:firstLine="643" w:firstLineChars="200"/>
        <w:rPr>
          <w:rFonts w:ascii="仿宋_GB2312" w:hAnsi="仿宋_GB2312" w:eastAsia="仿宋_GB2312" w:cs="仿宋_GB2312"/>
          <w:b/>
          <w:bCs/>
          <w:color w:val="555555"/>
          <w:sz w:val="32"/>
          <w:szCs w:val="32"/>
        </w:rPr>
      </w:pP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第二十</w:t>
      </w:r>
      <w:r>
        <w:rPr>
          <w:rFonts w:hint="eastAsia" w:ascii="仿宋_GB2312" w:hAnsi="仿宋_GB2312" w:eastAsia="仿宋_GB2312" w:cs="仿宋_GB2312"/>
          <w:b/>
          <w:bCs/>
          <w:color w:val="555555"/>
          <w:sz w:val="32"/>
          <w:szCs w:val="32"/>
          <w:lang w:eastAsia="zh-CN"/>
        </w:rPr>
        <w:t>二</w:t>
      </w:r>
      <w:r>
        <w:rPr>
          <w:rFonts w:hint="eastAsia" w:ascii="仿宋_GB2312" w:hAnsi="仿宋_GB2312" w:eastAsia="仿宋_GB2312" w:cs="仿宋_GB2312"/>
          <w:b/>
          <w:bCs/>
          <w:color w:val="555555"/>
          <w:sz w:val="32"/>
          <w:szCs w:val="32"/>
        </w:rPr>
        <w:t>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b/>
          <w:bCs/>
          <w:color w:val="555555"/>
          <w:sz w:val="32"/>
          <w:szCs w:val="32"/>
        </w:rPr>
        <w:t>原则要求</w:t>
      </w:r>
      <w:r>
        <w:rPr>
          <w:rFonts w:hint="eastAsia" w:ascii="仿宋_GB2312" w:hAnsi="仿宋_GB2312" w:eastAsia="仿宋_GB2312" w:cs="仿宋_GB2312"/>
          <w:color w:val="555555"/>
          <w:sz w:val="32"/>
          <w:szCs w:val="32"/>
        </w:rPr>
        <w:t>】交易场所应当严格遵守法律法规和监管部门的规定，自觉接受监管，严格防范风险，以服务实体经济和所在行业为宗旨，科学设计自身业务模式。</w:t>
      </w:r>
      <w:r>
        <w:rPr>
          <w:rFonts w:hint="eastAsia" w:ascii="仿宋_GB2312" w:hAnsi="仿宋_GB2312" w:eastAsia="仿宋_GB2312" w:cs="仿宋_GB2312"/>
          <w:color w:val="555555"/>
          <w:sz w:val="32"/>
          <w:szCs w:val="32"/>
          <w:lang w:eastAsia="zh-CN"/>
        </w:rPr>
        <w:t>原则上，</w:t>
      </w:r>
      <w:r>
        <w:rPr>
          <w:rFonts w:hint="eastAsia" w:ascii="仿宋_GB2312" w:hAnsi="仿宋_GB2312" w:eastAsia="仿宋_GB2312" w:cs="仿宋_GB2312"/>
          <w:color w:val="555555"/>
          <w:sz w:val="32"/>
          <w:szCs w:val="32"/>
        </w:rPr>
        <w:t>不同类别交易场所不得上线相同交易品种。</w:t>
      </w:r>
    </w:p>
    <w:p>
      <w:pPr>
        <w:widowControl/>
        <w:spacing w:line="560" w:lineRule="exact"/>
        <w:ind w:firstLine="640" w:firstLineChars="200"/>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大宗商品现货类交易场所及交易品种的设置应当立足现货，具有充分的产业需求和物流等配套条件；可以依法为金融机构提供相关信息和服务，但禁止开展具有金融属性的业务；交易品种应当为能够进入流通领域、用于工农业生产或消费的可批量交易的实物商品，不得擅自上线未经批准的交易品种；交易价格应当基于买卖双方真实交易达成，反映现货市场价格，不得挂钩任何其他市场行情或价格指数组织以非现货交割为目的的交易，不得虚构或操纵价格；交易应当基本能够完成交割并用于生产经营；交易模式应当是约定交货期限内的全款现货交易。</w:t>
      </w:r>
    </w:p>
    <w:p>
      <w:pPr>
        <w:widowControl/>
        <w:spacing w:line="560" w:lineRule="exact"/>
        <w:ind w:firstLine="640" w:firstLineChars="200"/>
        <w:jc w:val="left"/>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权益类交易场所应当适应行业发展需要</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服务实体经济，</w:t>
      </w:r>
      <w:r>
        <w:rPr>
          <w:rFonts w:hint="eastAsia" w:ascii="仿宋_GB2312" w:hAnsi="仿宋_GB2312" w:eastAsia="仿宋_GB2312" w:cs="仿宋_GB2312"/>
          <w:color w:val="555555"/>
          <w:sz w:val="32"/>
          <w:szCs w:val="32"/>
          <w:lang w:eastAsia="zh-CN"/>
        </w:rPr>
        <w:t>依据国家相关规定</w:t>
      </w:r>
      <w:r>
        <w:rPr>
          <w:rFonts w:hint="eastAsia" w:ascii="仿宋_GB2312" w:hAnsi="仿宋_GB2312" w:eastAsia="仿宋_GB2312" w:cs="仿宋_GB2312"/>
          <w:color w:val="555555"/>
          <w:sz w:val="32"/>
          <w:szCs w:val="32"/>
        </w:rPr>
        <w:t>不得以登记、备案、摘挂牌、居间中介、财务顾问、信息发布等名义，直接或间接为各类非标债务融资产品提供服务和便利</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不得为金融机构或非金融机构相关产品提供规避投资范围、杠杆约束等监管要求的通道服务；不得非法从事中央金融管理部门监管或禁止的金融业务，涉及</w:t>
      </w:r>
      <w:r>
        <w:rPr>
          <w:rFonts w:hint="eastAsia" w:ascii="仿宋_GB2312" w:hAnsi="仿宋_GB2312" w:eastAsia="仿宋_GB2312" w:cs="仿宋_GB2312"/>
          <w:color w:val="555555"/>
          <w:sz w:val="32"/>
          <w:szCs w:val="32"/>
          <w:lang w:eastAsia="zh-CN"/>
        </w:rPr>
        <w:t>中央金融管理部门</w:t>
      </w:r>
      <w:r>
        <w:rPr>
          <w:rFonts w:hint="eastAsia" w:ascii="仿宋_GB2312" w:hAnsi="仿宋_GB2312" w:eastAsia="仿宋_GB2312" w:cs="仿宋_GB2312"/>
          <w:color w:val="555555"/>
          <w:sz w:val="32"/>
          <w:szCs w:val="32"/>
        </w:rPr>
        <w:t>业务许可事项和其他国家部委管理业务的，应取得相应业务牌照或获得主管部门指定；未经批准，不得发行、销售（代理销售）、交易中央金融管理部门负责监管的金融产品、私募投资基金产品；不得以登记、备案等名义参与其他机构违规发行和销售金融产品等活动；不得与网络借贷平台等互联网金融企业、房地产等国家限制或特定规范要求的企业（平台）及</w:t>
      </w:r>
      <w:r>
        <w:rPr>
          <w:rFonts w:hint="eastAsia" w:ascii="仿宋_GB2312" w:hAnsi="仿宋_GB2312" w:eastAsia="仿宋_GB2312" w:cs="仿宋_GB2312"/>
          <w:color w:val="555555"/>
          <w:sz w:val="32"/>
          <w:szCs w:val="32"/>
          <w:lang w:eastAsia="zh-CN"/>
        </w:rPr>
        <w:t>地方金融组织</w:t>
      </w:r>
      <w:r>
        <w:rPr>
          <w:rFonts w:hint="eastAsia" w:ascii="仿宋_GB2312" w:hAnsi="仿宋_GB2312" w:eastAsia="仿宋_GB2312" w:cs="仿宋_GB2312"/>
          <w:color w:val="555555"/>
          <w:sz w:val="32"/>
          <w:szCs w:val="32"/>
        </w:rPr>
        <w:t>违规开展业务合作；不得在</w:t>
      </w:r>
      <w:r>
        <w:rPr>
          <w:rFonts w:hint="eastAsia" w:ascii="仿宋_GB2312" w:hAnsi="仿宋_GB2312" w:eastAsia="仿宋_GB2312" w:cs="仿宋_GB2312"/>
          <w:color w:val="555555"/>
          <w:sz w:val="32"/>
          <w:szCs w:val="32"/>
          <w:lang w:eastAsia="zh-CN"/>
        </w:rPr>
        <w:t>深圳市</w:t>
      </w:r>
      <w:r>
        <w:rPr>
          <w:rFonts w:hint="eastAsia" w:ascii="仿宋_GB2312" w:hAnsi="仿宋_GB2312" w:eastAsia="仿宋_GB2312" w:cs="仿宋_GB2312"/>
          <w:color w:val="555555"/>
          <w:sz w:val="32"/>
          <w:szCs w:val="32"/>
        </w:rPr>
        <w:t>外设立子（分）公司、办事处等展业机构，不得通过其他机构、个人、发展代理人（合伙人）</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与互联网平台合作等方式在其他省级行政区域展业，不得为异地企业发行产品。</w:t>
      </w:r>
    </w:p>
    <w:p>
      <w:pPr>
        <w:widowControl/>
        <w:spacing w:line="560" w:lineRule="exact"/>
        <w:ind w:firstLine="643"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kern w:val="0"/>
          <w:sz w:val="32"/>
          <w:szCs w:val="32"/>
        </w:rPr>
        <w:t>第二十</w:t>
      </w:r>
      <w:r>
        <w:rPr>
          <w:rFonts w:hint="eastAsia" w:ascii="仿宋_GB2312" w:hAnsi="仿宋_GB2312" w:eastAsia="仿宋_GB2312" w:cs="仿宋_GB2312"/>
          <w:b/>
          <w:bCs/>
          <w:color w:val="555555"/>
          <w:kern w:val="0"/>
          <w:sz w:val="32"/>
          <w:szCs w:val="32"/>
          <w:lang w:eastAsia="zh-CN"/>
        </w:rPr>
        <w:t>三</w:t>
      </w:r>
      <w:r>
        <w:rPr>
          <w:rFonts w:hint="eastAsia" w:ascii="仿宋_GB2312" w:hAnsi="仿宋_GB2312" w:eastAsia="仿宋_GB2312" w:cs="仿宋_GB2312"/>
          <w:b/>
          <w:bCs/>
          <w:color w:val="555555"/>
          <w:kern w:val="0"/>
          <w:sz w:val="32"/>
          <w:szCs w:val="32"/>
        </w:rPr>
        <w:t>条【内部治理】</w:t>
      </w:r>
      <w:r>
        <w:rPr>
          <w:rFonts w:hint="eastAsia" w:ascii="仿宋_GB2312" w:hAnsi="仿宋_GB2312" w:eastAsia="仿宋_GB2312" w:cs="仿宋_GB2312"/>
          <w:color w:val="555555"/>
          <w:kern w:val="0"/>
          <w:sz w:val="32"/>
          <w:szCs w:val="32"/>
        </w:rPr>
        <w:t>交易场所应当依法建立健全内部治理结构，完善议事规则、决策程序和内部审计制度，保持内部治理的有效性，并指定一名</w:t>
      </w:r>
      <w:r>
        <w:rPr>
          <w:rFonts w:hint="eastAsia" w:ascii="仿宋_GB2312" w:hAnsi="仿宋_GB2312" w:eastAsia="仿宋_GB2312" w:cs="仿宋_GB2312"/>
          <w:color w:val="555555"/>
          <w:kern w:val="0"/>
          <w:sz w:val="32"/>
          <w:szCs w:val="32"/>
          <w:lang w:eastAsia="zh-CN"/>
        </w:rPr>
        <w:t>高级管理人员</w:t>
      </w:r>
      <w:r>
        <w:rPr>
          <w:rFonts w:hint="eastAsia" w:ascii="仿宋_GB2312" w:hAnsi="仿宋_GB2312" w:eastAsia="仿宋_GB2312" w:cs="仿宋_GB2312"/>
          <w:color w:val="555555"/>
          <w:kern w:val="0"/>
          <w:sz w:val="32"/>
          <w:szCs w:val="32"/>
        </w:rPr>
        <w:t>作为合规负责人，承担合规责任，对交易场所</w:t>
      </w:r>
      <w:r>
        <w:rPr>
          <w:rFonts w:hint="eastAsia" w:ascii="仿宋_GB2312" w:hAnsi="仿宋_GB2312" w:eastAsia="仿宋_GB2312" w:cs="仿宋_GB2312"/>
          <w:color w:val="555555"/>
          <w:kern w:val="0"/>
          <w:sz w:val="32"/>
          <w:szCs w:val="32"/>
          <w:lang w:eastAsia="zh-CN"/>
        </w:rPr>
        <w:t>依法</w:t>
      </w:r>
      <w:r>
        <w:rPr>
          <w:rFonts w:hint="eastAsia" w:ascii="仿宋_GB2312" w:hAnsi="仿宋_GB2312" w:eastAsia="仿宋_GB2312" w:cs="仿宋_GB2312"/>
          <w:color w:val="555555"/>
          <w:kern w:val="0"/>
          <w:sz w:val="32"/>
          <w:szCs w:val="32"/>
        </w:rPr>
        <w:t>合规运作进行监督。</w:t>
      </w:r>
    </w:p>
    <w:p>
      <w:pPr>
        <w:widowControl/>
        <w:spacing w:line="560" w:lineRule="exact"/>
        <w:ind w:firstLine="643"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kern w:val="0"/>
          <w:sz w:val="32"/>
          <w:szCs w:val="32"/>
        </w:rPr>
        <w:t>第二十</w:t>
      </w:r>
      <w:r>
        <w:rPr>
          <w:rFonts w:hint="eastAsia" w:ascii="仿宋_GB2312" w:hAnsi="仿宋_GB2312" w:eastAsia="仿宋_GB2312" w:cs="仿宋_GB2312"/>
          <w:b/>
          <w:bCs/>
          <w:color w:val="555555"/>
          <w:kern w:val="0"/>
          <w:sz w:val="32"/>
          <w:szCs w:val="32"/>
          <w:lang w:eastAsia="zh-CN"/>
        </w:rPr>
        <w:t>四</w:t>
      </w:r>
      <w:r>
        <w:rPr>
          <w:rFonts w:hint="eastAsia" w:ascii="仿宋_GB2312" w:hAnsi="仿宋_GB2312" w:eastAsia="仿宋_GB2312" w:cs="仿宋_GB2312"/>
          <w:b/>
          <w:bCs/>
          <w:color w:val="555555"/>
          <w:kern w:val="0"/>
          <w:sz w:val="32"/>
          <w:szCs w:val="32"/>
        </w:rPr>
        <w:t>条【交易规则】</w:t>
      </w:r>
      <w:r>
        <w:rPr>
          <w:rFonts w:hint="eastAsia" w:ascii="仿宋_GB2312" w:hAnsi="仿宋_GB2312" w:eastAsia="仿宋_GB2312" w:cs="仿宋_GB2312"/>
          <w:color w:val="555555"/>
          <w:kern w:val="0"/>
          <w:sz w:val="32"/>
          <w:szCs w:val="32"/>
        </w:rPr>
        <w:t>交易场所应当根据交易特点制定依法合规的交易规则，内容包括：交易品种、交易方式和流程、交易标的交割（交收）规则、资金清算规则、交易费用标准和收取方式、交易信息处理和发布规则、风险控制、交易纠纷解决机制、其他异常和差错处理机制等。</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交易场所制定交易规则应当坚持公开、透明原则，并依法遵守以下规定：</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（一）不得将任何权益拆分为均等份额公开发行；</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（二）不得采取集合竞价、连续竞价、电子撮合、匿名交易、做市商等集中交易方式进行交易；</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（三）不得将权益按照标准化交易单位持续挂牌交易，任何投资者买入后卖出或卖出后买入同一交易品种的时间间隔不得少于5个交易日；</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（四）除法律、法规另有规定外，权益持有人累计不得超过200人；</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（五）不得以集中交易方式进行标准化合约交易；</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（六）未经</w:t>
      </w:r>
      <w:r>
        <w:rPr>
          <w:rFonts w:hint="eastAsia" w:ascii="仿宋_GB2312" w:hAnsi="仿宋_GB2312" w:eastAsia="仿宋_GB2312" w:cs="仿宋_GB2312"/>
          <w:color w:val="555555"/>
          <w:kern w:val="0"/>
          <w:sz w:val="32"/>
          <w:szCs w:val="32"/>
          <w:lang w:eastAsia="zh-CN"/>
        </w:rPr>
        <w:t>中央</w:t>
      </w:r>
      <w:r>
        <w:rPr>
          <w:rFonts w:hint="eastAsia" w:ascii="仿宋_GB2312" w:hAnsi="仿宋_GB2312" w:eastAsia="仿宋_GB2312" w:cs="仿宋_GB2312"/>
          <w:color w:val="555555"/>
          <w:kern w:val="0"/>
          <w:sz w:val="32"/>
          <w:szCs w:val="32"/>
        </w:rPr>
        <w:t>金融管理部门批准，不得从事保险、信贷、黄金等金融产品交易；</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（七）按照公开、透明、市场化原则定价，不得利用可能形成的市场支配地位收取不公平高价交易服务费。</w:t>
      </w:r>
    </w:p>
    <w:p>
      <w:pPr>
        <w:widowControl/>
        <w:spacing w:line="560" w:lineRule="exact"/>
        <w:ind w:firstLine="640" w:firstLineChars="200"/>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商业银行、证券公司、期货公司、保险公司、信托投资公司等金融机构及非银行支付机构不得为违反上述规定的交易场所提供承销、开户、托管、资产划转、支付结算、代理买卖、投资咨询、保险等服务。</w:t>
      </w:r>
    </w:p>
    <w:p>
      <w:pPr>
        <w:widowControl/>
        <w:spacing w:line="560" w:lineRule="exact"/>
        <w:ind w:firstLine="643"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kern w:val="0"/>
          <w:sz w:val="32"/>
          <w:szCs w:val="32"/>
        </w:rPr>
        <w:t>第二十</w:t>
      </w:r>
      <w:r>
        <w:rPr>
          <w:rFonts w:hint="eastAsia" w:ascii="仿宋_GB2312" w:hAnsi="仿宋_GB2312" w:eastAsia="仿宋_GB2312" w:cs="仿宋_GB2312"/>
          <w:b/>
          <w:bCs/>
          <w:color w:val="555555"/>
          <w:kern w:val="0"/>
          <w:sz w:val="32"/>
          <w:szCs w:val="32"/>
          <w:lang w:eastAsia="zh-CN"/>
        </w:rPr>
        <w:t>五</w:t>
      </w:r>
      <w:r>
        <w:rPr>
          <w:rFonts w:hint="eastAsia" w:ascii="仿宋_GB2312" w:hAnsi="仿宋_GB2312" w:eastAsia="仿宋_GB2312" w:cs="仿宋_GB2312"/>
          <w:b/>
          <w:bCs/>
          <w:color w:val="555555"/>
          <w:kern w:val="0"/>
          <w:sz w:val="32"/>
          <w:szCs w:val="32"/>
        </w:rPr>
        <w:t>条【所有权和经营权分离】</w:t>
      </w:r>
      <w:r>
        <w:rPr>
          <w:rFonts w:hint="eastAsia" w:ascii="仿宋_GB2312" w:hAnsi="仿宋_GB2312" w:eastAsia="仿宋_GB2312" w:cs="仿宋_GB2312"/>
          <w:color w:val="555555"/>
          <w:kern w:val="0"/>
          <w:sz w:val="32"/>
          <w:szCs w:val="32"/>
        </w:rPr>
        <w:t>交易场所与其股东应当在业务、人员、机构、资产、财务、场所、系统等方面严格分开，独立经营、独立核算。</w:t>
      </w:r>
    </w:p>
    <w:p>
      <w:pPr>
        <w:widowControl/>
        <w:spacing w:line="560" w:lineRule="exact"/>
        <w:ind w:firstLine="643"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kern w:val="0"/>
          <w:sz w:val="32"/>
          <w:szCs w:val="32"/>
        </w:rPr>
        <w:t>第二十</w:t>
      </w:r>
      <w:r>
        <w:rPr>
          <w:rFonts w:hint="eastAsia" w:ascii="仿宋_GB2312" w:hAnsi="仿宋_GB2312" w:eastAsia="仿宋_GB2312" w:cs="仿宋_GB2312"/>
          <w:b/>
          <w:bCs/>
          <w:color w:val="555555"/>
          <w:kern w:val="0"/>
          <w:sz w:val="32"/>
          <w:szCs w:val="32"/>
          <w:lang w:eastAsia="zh-CN"/>
        </w:rPr>
        <w:t>六</w:t>
      </w:r>
      <w:r>
        <w:rPr>
          <w:rFonts w:hint="eastAsia" w:ascii="仿宋_GB2312" w:hAnsi="仿宋_GB2312" w:eastAsia="仿宋_GB2312" w:cs="仿宋_GB2312"/>
          <w:b/>
          <w:bCs/>
          <w:color w:val="555555"/>
          <w:kern w:val="0"/>
          <w:sz w:val="32"/>
          <w:szCs w:val="32"/>
        </w:rPr>
        <w:t>条【集中管理】</w:t>
      </w:r>
      <w:r>
        <w:rPr>
          <w:rFonts w:hint="eastAsia" w:ascii="仿宋_GB2312" w:hAnsi="仿宋_GB2312" w:eastAsia="仿宋_GB2312" w:cs="仿宋_GB2312"/>
          <w:color w:val="555555"/>
          <w:kern w:val="0"/>
          <w:sz w:val="32"/>
          <w:szCs w:val="32"/>
        </w:rPr>
        <w:t>交易场所应当对其业务及分支机构实行集中统一管理，各项业务的决策和主要管理职责应当由交易场所总部承担。</w:t>
      </w:r>
    </w:p>
    <w:p>
      <w:pPr>
        <w:widowControl/>
        <w:spacing w:line="560" w:lineRule="exact"/>
        <w:ind w:firstLine="643" w:firstLineChars="200"/>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kern w:val="0"/>
          <w:sz w:val="32"/>
          <w:szCs w:val="32"/>
        </w:rPr>
        <w:t>第二十</w:t>
      </w:r>
      <w:r>
        <w:rPr>
          <w:rFonts w:hint="eastAsia" w:ascii="仿宋_GB2312" w:hAnsi="仿宋_GB2312" w:eastAsia="仿宋_GB2312" w:cs="仿宋_GB2312"/>
          <w:b/>
          <w:bCs/>
          <w:color w:val="555555"/>
          <w:kern w:val="0"/>
          <w:sz w:val="32"/>
          <w:szCs w:val="32"/>
          <w:lang w:eastAsia="zh-CN"/>
        </w:rPr>
        <w:t>七</w:t>
      </w:r>
      <w:r>
        <w:rPr>
          <w:rFonts w:hint="eastAsia" w:ascii="仿宋_GB2312" w:hAnsi="仿宋_GB2312" w:eastAsia="仿宋_GB2312" w:cs="仿宋_GB2312"/>
          <w:b/>
          <w:bCs/>
          <w:color w:val="555555"/>
          <w:kern w:val="0"/>
          <w:sz w:val="32"/>
          <w:szCs w:val="32"/>
        </w:rPr>
        <w:t>条【分支机构】</w:t>
      </w:r>
      <w:r>
        <w:rPr>
          <w:rFonts w:hint="eastAsia" w:ascii="仿宋_GB2312" w:hAnsi="仿宋_GB2312" w:eastAsia="仿宋_GB2312" w:cs="仿宋_GB2312"/>
          <w:color w:val="555555"/>
          <w:kern w:val="0"/>
          <w:sz w:val="32"/>
          <w:szCs w:val="32"/>
        </w:rPr>
        <w:t>交易场所应当制定分支机构、会员、代理商、授权服务机构管理制度，明确准入条件、权利、义务和禁止类事项，加强日常管理，防止其侵害客户利益，并定期将与上述有关机构的合作情况报告</w:t>
      </w:r>
      <w:r>
        <w:rPr>
          <w:rFonts w:hint="eastAsia" w:ascii="仿宋_GB2312" w:hAnsi="仿宋_GB2312" w:eastAsia="仿宋_GB2312" w:cs="仿宋_GB2312"/>
          <w:color w:val="555555"/>
          <w:kern w:val="0"/>
          <w:sz w:val="32"/>
          <w:szCs w:val="32"/>
          <w:lang w:eastAsia="zh-CN"/>
        </w:rPr>
        <w:t>市级行业主管部门</w:t>
      </w:r>
      <w:r>
        <w:rPr>
          <w:rFonts w:hint="eastAsia" w:ascii="仿宋_GB2312" w:hAnsi="仿宋_GB2312" w:eastAsia="仿宋_GB2312" w:cs="仿宋_GB2312"/>
          <w:color w:val="555555"/>
          <w:kern w:val="0"/>
          <w:sz w:val="32"/>
          <w:szCs w:val="32"/>
        </w:rPr>
        <w:t>。交易场所及其分支机构、会员、代理商、授权服务机构等不得从事下列活动：</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（一）未经客户委托、违背客户意愿、假借客户名义开展交易活动；</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（二）与客户进行对赌；</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（三）不在规定时间内向客户提供交易的确认文件；</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（四）挪用客户交易资金；</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（五）为牟取佣金收入，诱使客户进行不必要的交易；</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（六）提供、传播虚假或者误导客户的信息；</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（七）利用交易软件进行后台操纵；</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（八）发布对交易品种价格进行预测的文字和资料；</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（九）擅自对外开展合作经营或将经营资质承包、出租、出借；</w:t>
      </w:r>
    </w:p>
    <w:p>
      <w:pPr>
        <w:widowControl/>
        <w:spacing w:line="560" w:lineRule="exact"/>
        <w:ind w:firstLine="640" w:firstLineChars="200"/>
        <w:jc w:val="left"/>
        <w:rPr>
          <w:rFonts w:hint="eastAsia"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（十）其他违背客户真实意思表示或与客户利益相冲突的行为。</w:t>
      </w:r>
    </w:p>
    <w:p>
      <w:pPr>
        <w:widowControl/>
        <w:spacing w:line="560" w:lineRule="exact"/>
        <w:ind w:firstLine="640" w:firstLineChars="200"/>
        <w:jc w:val="left"/>
        <w:rPr>
          <w:rFonts w:hint="eastAsia" w:ascii="仿宋_GB2312" w:hAnsi="仿宋_GB2312" w:eastAsia="仿宋_GB2312" w:cs="仿宋_GB2312"/>
          <w:color w:val="555555"/>
          <w:kern w:val="0"/>
          <w:sz w:val="32"/>
          <w:szCs w:val="32"/>
          <w:lang w:eastAsia="zh-CN"/>
        </w:rPr>
      </w:pPr>
      <w:r>
        <w:rPr>
          <w:rFonts w:hint="eastAsia" w:ascii="仿宋_GB2312" w:hAnsi="仿宋_GB2312" w:eastAsia="仿宋_GB2312" w:cs="仿宋_GB2312"/>
          <w:color w:val="555555"/>
          <w:kern w:val="0"/>
          <w:sz w:val="32"/>
          <w:szCs w:val="32"/>
          <w:lang w:eastAsia="zh-CN"/>
        </w:rPr>
        <w:t>金融机构、各类广告发布媒介或其他组织不得为违反上述规定的交易场所及其分支机构、会员、代理商、授权服务机构提供服务或者便利条件。商业银行</w:t>
      </w:r>
      <w:r>
        <w:rPr>
          <w:rFonts w:hint="eastAsia" w:ascii="仿宋_GB2312" w:hAnsi="仿宋_GB2312" w:eastAsia="仿宋_GB2312" w:cs="仿宋_GB2312"/>
          <w:color w:val="555555"/>
          <w:kern w:val="0"/>
          <w:sz w:val="32"/>
          <w:szCs w:val="32"/>
        </w:rPr>
        <w:t>及非银行支付机构</w:t>
      </w:r>
      <w:r>
        <w:rPr>
          <w:rFonts w:hint="eastAsia" w:ascii="仿宋_GB2312" w:hAnsi="仿宋_GB2312" w:eastAsia="仿宋_GB2312" w:cs="仿宋_GB2312"/>
          <w:color w:val="555555"/>
          <w:kern w:val="0"/>
          <w:sz w:val="32"/>
          <w:szCs w:val="32"/>
          <w:lang w:eastAsia="zh-CN"/>
        </w:rPr>
        <w:t>不得为违法违规交易场所及其分支机构、会员、代理商、授权服务机构提供开户、托管、资金结算等金融服务。</w:t>
      </w:r>
    </w:p>
    <w:p>
      <w:pPr>
        <w:widowControl/>
        <w:spacing w:line="560" w:lineRule="exact"/>
        <w:ind w:firstLine="643" w:firstLineChars="200"/>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kern w:val="0"/>
          <w:sz w:val="32"/>
          <w:szCs w:val="32"/>
        </w:rPr>
        <w:t>第二十</w:t>
      </w:r>
      <w:r>
        <w:rPr>
          <w:rFonts w:hint="eastAsia" w:ascii="仿宋_GB2312" w:hAnsi="仿宋_GB2312" w:eastAsia="仿宋_GB2312" w:cs="仿宋_GB2312"/>
          <w:b/>
          <w:bCs/>
          <w:color w:val="555555"/>
          <w:kern w:val="0"/>
          <w:sz w:val="32"/>
          <w:szCs w:val="32"/>
          <w:lang w:eastAsia="zh-CN"/>
        </w:rPr>
        <w:t>八</w:t>
      </w:r>
      <w:r>
        <w:rPr>
          <w:rFonts w:hint="eastAsia" w:ascii="仿宋_GB2312" w:hAnsi="仿宋_GB2312" w:eastAsia="仿宋_GB2312" w:cs="仿宋_GB2312"/>
          <w:b/>
          <w:bCs/>
          <w:color w:val="555555"/>
          <w:kern w:val="0"/>
          <w:sz w:val="32"/>
          <w:szCs w:val="32"/>
        </w:rPr>
        <w:t>条【关联交易】</w:t>
      </w:r>
      <w:r>
        <w:rPr>
          <w:rFonts w:hint="eastAsia" w:ascii="仿宋_GB2312" w:hAnsi="仿宋_GB2312" w:eastAsia="仿宋_GB2312" w:cs="仿宋_GB2312"/>
          <w:color w:val="555555"/>
          <w:kern w:val="0"/>
          <w:sz w:val="32"/>
          <w:szCs w:val="32"/>
        </w:rPr>
        <w:t>交易场所及其股东、实际控制人、相关业务合作单位不得违规入市扰乱或操纵交易；交易场所</w:t>
      </w:r>
      <w:r>
        <w:rPr>
          <w:rFonts w:hint="eastAsia" w:ascii="仿宋_GB2312" w:hAnsi="仿宋_GB2312" w:eastAsia="仿宋_GB2312" w:cs="仿宋_GB2312"/>
          <w:color w:val="555555"/>
          <w:kern w:val="0"/>
          <w:sz w:val="32"/>
          <w:szCs w:val="32"/>
          <w:lang w:eastAsia="zh-CN"/>
        </w:rPr>
        <w:t>法定代表人、</w:t>
      </w:r>
      <w:r>
        <w:rPr>
          <w:rFonts w:hint="eastAsia" w:ascii="仿宋_GB2312" w:hAnsi="仿宋_GB2312" w:eastAsia="仿宋_GB2312" w:cs="仿宋_GB2312"/>
          <w:color w:val="555555"/>
          <w:kern w:val="0"/>
          <w:sz w:val="32"/>
          <w:szCs w:val="32"/>
        </w:rPr>
        <w:t>董事、监事、高级管理人员及其他工作人员不得直接或间接参与本交易场所的交易，不得泄露内幕信息或者利用内幕信息获取非法利益。</w:t>
      </w:r>
    </w:p>
    <w:p>
      <w:pPr>
        <w:widowControl/>
        <w:spacing w:line="560" w:lineRule="exact"/>
        <w:ind w:firstLine="640" w:firstLineChars="200"/>
        <w:jc w:val="left"/>
        <w:rPr>
          <w:rFonts w:hint="eastAsia" w:ascii="仿宋_GB2312" w:hAnsi="仿宋_GB2312" w:eastAsia="仿宋_GB2312" w:cs="仿宋_GB2312"/>
          <w:color w:val="555555"/>
          <w:kern w:val="0"/>
          <w:sz w:val="32"/>
          <w:szCs w:val="32"/>
          <w:highlight w:val="none"/>
          <w:lang w:val="en-US" w:eastAsia="zh-CN" w:bidi="ar-SA"/>
        </w:rPr>
      </w:pPr>
      <w:r>
        <w:rPr>
          <w:rFonts w:hint="eastAsia" w:ascii="仿宋_GB2312" w:hAnsi="仿宋_GB2312" w:eastAsia="仿宋_GB2312" w:cs="仿宋_GB2312"/>
          <w:color w:val="555555"/>
          <w:kern w:val="0"/>
          <w:sz w:val="32"/>
          <w:szCs w:val="32"/>
          <w:highlight w:val="none"/>
        </w:rPr>
        <w:t>交易场所的股东</w:t>
      </w:r>
      <w:r>
        <w:rPr>
          <w:rFonts w:hint="eastAsia" w:ascii="仿宋_GB2312" w:hAnsi="仿宋_GB2312" w:eastAsia="仿宋_GB2312" w:cs="仿宋_GB2312"/>
          <w:color w:val="555555"/>
          <w:kern w:val="0"/>
          <w:sz w:val="32"/>
          <w:szCs w:val="32"/>
          <w:highlight w:val="none"/>
          <w:lang w:eastAsia="zh-CN"/>
        </w:rPr>
        <w:t>、实际控制人</w:t>
      </w:r>
      <w:r>
        <w:rPr>
          <w:rFonts w:hint="eastAsia" w:ascii="仿宋_GB2312" w:hAnsi="仿宋_GB2312" w:eastAsia="仿宋_GB2312" w:cs="仿宋_GB2312"/>
          <w:color w:val="555555"/>
          <w:kern w:val="0"/>
          <w:sz w:val="32"/>
          <w:szCs w:val="32"/>
          <w:highlight w:val="none"/>
        </w:rPr>
        <w:t>和管理层不得滥用控制权、经营权</w:t>
      </w:r>
      <w:r>
        <w:rPr>
          <w:rFonts w:hint="eastAsia" w:ascii="仿宋_GB2312" w:hAnsi="仿宋_GB2312" w:eastAsia="仿宋_GB2312" w:cs="仿宋_GB2312"/>
          <w:color w:val="555555"/>
          <w:kern w:val="0"/>
          <w:sz w:val="32"/>
          <w:szCs w:val="32"/>
          <w:highlight w:val="none"/>
          <w:lang w:eastAsia="zh-CN"/>
        </w:rPr>
        <w:t>，不得</w:t>
      </w:r>
      <w:r>
        <w:rPr>
          <w:rFonts w:hint="eastAsia" w:ascii="仿宋_GB2312" w:hAnsi="仿宋_GB2312" w:eastAsia="仿宋_GB2312" w:cs="仿宋_GB2312"/>
          <w:color w:val="555555"/>
          <w:kern w:val="0"/>
          <w:sz w:val="32"/>
          <w:szCs w:val="32"/>
          <w:highlight w:val="none"/>
        </w:rPr>
        <w:t>利用交易场所开展自融活动。</w:t>
      </w:r>
    </w:p>
    <w:p>
      <w:pPr>
        <w:widowControl/>
        <w:spacing w:line="560" w:lineRule="exact"/>
        <w:ind w:firstLine="640"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交易场所不得对外（含股东、实际控制人或其他关联方）提供融资、融资担保、股权质押。</w:t>
      </w:r>
    </w:p>
    <w:p>
      <w:pPr>
        <w:widowControl/>
        <w:spacing w:line="560" w:lineRule="exact"/>
        <w:ind w:firstLine="643" w:firstLineChars="200"/>
        <w:jc w:val="left"/>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kern w:val="0"/>
          <w:sz w:val="32"/>
          <w:szCs w:val="32"/>
        </w:rPr>
        <w:t>第二十</w:t>
      </w:r>
      <w:r>
        <w:rPr>
          <w:rFonts w:hint="eastAsia" w:ascii="仿宋_GB2312" w:hAnsi="仿宋_GB2312" w:eastAsia="仿宋_GB2312" w:cs="仿宋_GB2312"/>
          <w:b/>
          <w:bCs/>
          <w:color w:val="555555"/>
          <w:kern w:val="0"/>
          <w:sz w:val="32"/>
          <w:szCs w:val="32"/>
          <w:lang w:eastAsia="zh-CN"/>
        </w:rPr>
        <w:t>九</w:t>
      </w:r>
      <w:r>
        <w:rPr>
          <w:rFonts w:hint="eastAsia" w:ascii="仿宋_GB2312" w:hAnsi="仿宋_GB2312" w:eastAsia="仿宋_GB2312" w:cs="仿宋_GB2312"/>
          <w:b/>
          <w:bCs/>
          <w:color w:val="555555"/>
          <w:kern w:val="0"/>
          <w:sz w:val="32"/>
          <w:szCs w:val="32"/>
        </w:rPr>
        <w:t>条【同业竞争】</w:t>
      </w:r>
      <w:r>
        <w:rPr>
          <w:rFonts w:hint="eastAsia" w:ascii="仿宋_GB2312" w:hAnsi="仿宋_GB2312" w:eastAsia="仿宋_GB2312" w:cs="仿宋_GB2312"/>
          <w:color w:val="555555"/>
          <w:kern w:val="0"/>
          <w:sz w:val="32"/>
          <w:szCs w:val="32"/>
        </w:rPr>
        <w:t>交易场所的控股股东、实际控制人及其关联方应当采取有效措施，防止与其所控制的交易场所发生</w:t>
      </w:r>
      <w:r>
        <w:rPr>
          <w:rFonts w:hint="eastAsia" w:ascii="仿宋_GB2312" w:hAnsi="仿宋_GB2312" w:eastAsia="仿宋_GB2312" w:cs="仿宋_GB2312"/>
          <w:color w:val="555555"/>
          <w:kern w:val="0"/>
          <w:sz w:val="32"/>
          <w:szCs w:val="32"/>
          <w:lang w:eastAsia="zh-CN"/>
        </w:rPr>
        <w:t>不当的</w:t>
      </w:r>
      <w:r>
        <w:rPr>
          <w:rFonts w:hint="eastAsia" w:ascii="仿宋_GB2312" w:hAnsi="仿宋_GB2312" w:eastAsia="仿宋_GB2312" w:cs="仿宋_GB2312"/>
          <w:color w:val="555555"/>
          <w:kern w:val="0"/>
          <w:sz w:val="32"/>
          <w:szCs w:val="32"/>
        </w:rPr>
        <w:t>业务竞争。</w:t>
      </w:r>
    </w:p>
    <w:p>
      <w:pPr>
        <w:widowControl/>
        <w:spacing w:line="560" w:lineRule="exact"/>
        <w:ind w:firstLine="643" w:firstLineChars="200"/>
        <w:jc w:val="left"/>
        <w:rPr>
          <w:rFonts w:ascii="仿宋_GB2312" w:hAnsi="仿宋_GB2312" w:eastAsia="仿宋_GB2312" w:cs="仿宋_GB2312"/>
          <w:color w:val="555555"/>
          <w:kern w:val="0"/>
          <w:sz w:val="32"/>
          <w:szCs w:val="32"/>
          <w:highlight w:val="none"/>
        </w:rPr>
      </w:pPr>
      <w:r>
        <w:rPr>
          <w:rFonts w:hint="eastAsia" w:ascii="仿宋_GB2312" w:hAnsi="仿宋_GB2312" w:eastAsia="仿宋_GB2312" w:cs="仿宋_GB2312"/>
          <w:b/>
          <w:bCs/>
          <w:color w:val="555555"/>
          <w:kern w:val="0"/>
          <w:sz w:val="32"/>
          <w:szCs w:val="32"/>
          <w:highlight w:val="none"/>
        </w:rPr>
        <w:t>第</w:t>
      </w:r>
      <w:r>
        <w:rPr>
          <w:rFonts w:hint="eastAsia" w:ascii="仿宋_GB2312" w:hAnsi="仿宋_GB2312" w:eastAsia="仿宋_GB2312" w:cs="仿宋_GB2312"/>
          <w:b/>
          <w:bCs/>
          <w:color w:val="555555"/>
          <w:kern w:val="0"/>
          <w:sz w:val="32"/>
          <w:szCs w:val="32"/>
          <w:highlight w:val="none"/>
          <w:lang w:eastAsia="zh-CN"/>
        </w:rPr>
        <w:t>三十</w:t>
      </w:r>
      <w:r>
        <w:rPr>
          <w:rFonts w:hint="eastAsia" w:ascii="仿宋_GB2312" w:hAnsi="仿宋_GB2312" w:eastAsia="仿宋_GB2312" w:cs="仿宋_GB2312"/>
          <w:b/>
          <w:bCs/>
          <w:color w:val="555555"/>
          <w:kern w:val="0"/>
          <w:sz w:val="32"/>
          <w:szCs w:val="32"/>
          <w:highlight w:val="none"/>
        </w:rPr>
        <w:t>条【延期支付薪酬】</w:t>
      </w:r>
      <w:r>
        <w:rPr>
          <w:rFonts w:hint="eastAsia" w:ascii="仿宋_GB2312" w:hAnsi="仿宋_GB2312" w:eastAsia="仿宋_GB2312" w:cs="仿宋_GB2312"/>
          <w:b w:val="0"/>
          <w:bCs w:val="0"/>
          <w:color w:val="555555"/>
          <w:kern w:val="0"/>
          <w:sz w:val="32"/>
          <w:szCs w:val="32"/>
          <w:highlight w:val="none"/>
          <w:lang w:eastAsia="zh-CN"/>
        </w:rPr>
        <w:t>鼓励</w:t>
      </w:r>
      <w:r>
        <w:rPr>
          <w:rFonts w:hint="eastAsia" w:ascii="仿宋_GB2312" w:hAnsi="仿宋_GB2312" w:eastAsia="仿宋_GB2312" w:cs="仿宋_GB2312"/>
          <w:color w:val="555555"/>
          <w:kern w:val="0"/>
          <w:sz w:val="32"/>
          <w:szCs w:val="32"/>
          <w:highlight w:val="none"/>
        </w:rPr>
        <w:t>交易场所</w:t>
      </w:r>
      <w:r>
        <w:rPr>
          <w:rFonts w:hint="eastAsia" w:ascii="仿宋_GB2312" w:hAnsi="仿宋_GB2312" w:eastAsia="仿宋_GB2312" w:cs="仿宋_GB2312"/>
          <w:color w:val="555555"/>
          <w:kern w:val="0"/>
          <w:sz w:val="32"/>
          <w:szCs w:val="32"/>
          <w:highlight w:val="none"/>
          <w:lang w:eastAsia="zh-CN"/>
        </w:rPr>
        <w:t>建立与工作责任和风险防控相挂钩的薪酬延期支付制度，并报市级行业主管部门备案。法定代表人、董事、监事、</w:t>
      </w:r>
      <w:r>
        <w:rPr>
          <w:rFonts w:hint="eastAsia" w:ascii="仿宋_GB2312" w:hAnsi="仿宋_GB2312" w:eastAsia="仿宋_GB2312" w:cs="仿宋_GB2312"/>
          <w:color w:val="555555"/>
          <w:kern w:val="0"/>
          <w:sz w:val="32"/>
          <w:szCs w:val="32"/>
          <w:highlight w:val="none"/>
        </w:rPr>
        <w:t>高级管理人员未能勤勉尽责，致使交易场所存在重大违法违规行为或者重大风险的，交易场所应当停止支付全部或者部分未支付的绩效年薪。</w:t>
      </w:r>
    </w:p>
    <w:p>
      <w:pPr>
        <w:widowControl/>
        <w:spacing w:line="560" w:lineRule="exact"/>
        <w:ind w:firstLine="643" w:firstLineChars="200"/>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kern w:val="0"/>
          <w:sz w:val="32"/>
          <w:szCs w:val="32"/>
          <w:highlight w:val="none"/>
        </w:rPr>
        <w:t>第三十</w:t>
      </w:r>
      <w:r>
        <w:rPr>
          <w:rFonts w:hint="eastAsia" w:ascii="仿宋_GB2312" w:hAnsi="仿宋_GB2312" w:eastAsia="仿宋_GB2312" w:cs="仿宋_GB2312"/>
          <w:b/>
          <w:bCs/>
          <w:color w:val="555555"/>
          <w:kern w:val="0"/>
          <w:sz w:val="32"/>
          <w:szCs w:val="32"/>
          <w:highlight w:val="none"/>
          <w:lang w:eastAsia="zh-CN"/>
        </w:rPr>
        <w:t>一</w:t>
      </w:r>
      <w:r>
        <w:rPr>
          <w:rFonts w:hint="eastAsia" w:ascii="仿宋_GB2312" w:hAnsi="仿宋_GB2312" w:eastAsia="仿宋_GB2312" w:cs="仿宋_GB2312"/>
          <w:b/>
          <w:bCs/>
          <w:color w:val="555555"/>
          <w:kern w:val="0"/>
          <w:sz w:val="32"/>
          <w:szCs w:val="32"/>
          <w:highlight w:val="none"/>
        </w:rPr>
        <w:t>条</w:t>
      </w:r>
      <w:r>
        <w:rPr>
          <w:rFonts w:hint="eastAsia" w:ascii="仿宋_GB2312" w:hAnsi="仿宋_GB2312" w:eastAsia="仿宋_GB2312" w:cs="仿宋_GB2312"/>
          <w:color w:val="555555"/>
          <w:kern w:val="0"/>
          <w:sz w:val="32"/>
          <w:szCs w:val="32"/>
          <w:highlight w:val="none"/>
        </w:rPr>
        <w:t>【</w:t>
      </w:r>
      <w:r>
        <w:rPr>
          <w:rFonts w:hint="eastAsia" w:ascii="仿宋_GB2312" w:hAnsi="仿宋_GB2312" w:eastAsia="仿宋_GB2312" w:cs="仿宋_GB2312"/>
          <w:b/>
          <w:bCs/>
          <w:color w:val="555555"/>
          <w:kern w:val="0"/>
          <w:sz w:val="32"/>
          <w:szCs w:val="32"/>
          <w:highlight w:val="none"/>
        </w:rPr>
        <w:t>投资者适当性】</w:t>
      </w:r>
      <w:r>
        <w:rPr>
          <w:rFonts w:hint="eastAsia" w:ascii="仿宋_GB2312" w:hAnsi="仿宋_GB2312" w:eastAsia="仿宋_GB2312" w:cs="仿宋_GB2312"/>
          <w:color w:val="555555"/>
          <w:kern w:val="0"/>
          <w:sz w:val="32"/>
          <w:szCs w:val="32"/>
          <w:highlight w:val="none"/>
        </w:rPr>
        <w:t>交易场所应当建</w:t>
      </w:r>
      <w:r>
        <w:rPr>
          <w:rFonts w:hint="eastAsia" w:ascii="仿宋_GB2312" w:hAnsi="仿宋_GB2312" w:eastAsia="仿宋_GB2312" w:cs="仿宋_GB2312"/>
          <w:color w:val="555555"/>
          <w:kern w:val="0"/>
          <w:sz w:val="32"/>
          <w:szCs w:val="32"/>
        </w:rPr>
        <w:t>立</w:t>
      </w:r>
      <w:r>
        <w:rPr>
          <w:rFonts w:hint="eastAsia" w:ascii="仿宋_GB2312" w:hAnsi="仿宋_GB2312" w:eastAsia="仿宋_GB2312" w:cs="仿宋_GB2312"/>
          <w:color w:val="555555"/>
          <w:kern w:val="0"/>
          <w:sz w:val="32"/>
          <w:szCs w:val="32"/>
          <w:lang w:eastAsia="zh-CN"/>
        </w:rPr>
        <w:t>并严格执行</w:t>
      </w:r>
      <w:r>
        <w:rPr>
          <w:rFonts w:hint="eastAsia" w:ascii="仿宋_GB2312" w:hAnsi="仿宋_GB2312" w:eastAsia="仿宋_GB2312" w:cs="仿宋_GB2312"/>
          <w:color w:val="555555"/>
          <w:kern w:val="0"/>
          <w:sz w:val="32"/>
          <w:szCs w:val="32"/>
        </w:rPr>
        <w:t>投资者适当性管理制度，充分揭示市场风险，开展风险承受能力测评，加强投资者教育，切实保障投资者合法权益。</w:t>
      </w:r>
      <w:r>
        <w:rPr>
          <w:rFonts w:hint="eastAsia" w:ascii="仿宋_GB2312" w:hAnsi="仿宋_GB2312" w:eastAsia="仿宋_GB2312" w:cs="仿宋_GB2312"/>
          <w:color w:val="555555"/>
          <w:kern w:val="0"/>
          <w:sz w:val="32"/>
          <w:szCs w:val="32"/>
          <w:highlight w:val="none"/>
        </w:rPr>
        <w:t>大宗商品现货类交易场所交易客户限定为行业内相关企业。权益类交易场所不得向个人（包括面向个人投资者发售的投资产品）销售或者变相销售产品。相关</w:t>
      </w:r>
      <w:r>
        <w:rPr>
          <w:rFonts w:hint="eastAsia" w:ascii="仿宋_GB2312" w:hAnsi="仿宋_GB2312" w:eastAsia="仿宋_GB2312" w:cs="仿宋_GB2312"/>
          <w:color w:val="555555"/>
          <w:kern w:val="0"/>
          <w:sz w:val="32"/>
          <w:szCs w:val="32"/>
        </w:rPr>
        <w:t>法律法规及政策文件另有规定的，从其规定。</w:t>
      </w:r>
    </w:p>
    <w:p>
      <w:pPr>
        <w:widowControl/>
        <w:spacing w:line="560" w:lineRule="exact"/>
        <w:ind w:firstLine="643" w:firstLineChars="200"/>
        <w:jc w:val="left"/>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第三十</w:t>
      </w:r>
      <w:r>
        <w:rPr>
          <w:rFonts w:hint="eastAsia" w:ascii="仿宋_GB2312" w:hAnsi="仿宋_GB2312" w:eastAsia="仿宋_GB2312" w:cs="仿宋_GB2312"/>
          <w:b/>
          <w:bCs/>
          <w:color w:val="555555"/>
          <w:sz w:val="32"/>
          <w:szCs w:val="32"/>
          <w:lang w:eastAsia="zh-CN"/>
        </w:rPr>
        <w:t>二</w:t>
      </w:r>
      <w:r>
        <w:rPr>
          <w:rFonts w:hint="eastAsia" w:ascii="仿宋_GB2312" w:hAnsi="仿宋_GB2312" w:eastAsia="仿宋_GB2312" w:cs="仿宋_GB2312"/>
          <w:b/>
          <w:bCs/>
          <w:color w:val="555555"/>
          <w:sz w:val="32"/>
          <w:szCs w:val="32"/>
        </w:rPr>
        <w:t>条【财务管理】</w:t>
      </w:r>
      <w:r>
        <w:rPr>
          <w:rFonts w:hint="eastAsia" w:ascii="仿宋_GB2312" w:hAnsi="仿宋_GB2312" w:eastAsia="仿宋_GB2312" w:cs="仿宋_GB2312"/>
          <w:color w:val="555555"/>
          <w:sz w:val="32"/>
          <w:szCs w:val="32"/>
        </w:rPr>
        <w:t>交易场所应当建立健全财务管理制度，按照企业会计准则等要求，真实记录和反映企业的财务状况、经营成果和现金流量。</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highlight w:val="none"/>
        </w:rPr>
      </w:pPr>
      <w:r>
        <w:rPr>
          <w:rFonts w:hint="eastAsia" w:ascii="仿宋_GB2312" w:hAnsi="仿宋_GB2312" w:eastAsia="仿宋_GB2312" w:cs="仿宋_GB2312"/>
          <w:b/>
          <w:bCs/>
          <w:color w:val="555555"/>
          <w:sz w:val="32"/>
          <w:szCs w:val="32"/>
          <w:highlight w:val="none"/>
        </w:rPr>
        <w:t>第三十</w:t>
      </w:r>
      <w:r>
        <w:rPr>
          <w:rFonts w:hint="eastAsia" w:ascii="仿宋_GB2312" w:hAnsi="仿宋_GB2312" w:eastAsia="仿宋_GB2312" w:cs="仿宋_GB2312"/>
          <w:b/>
          <w:bCs/>
          <w:color w:val="555555"/>
          <w:sz w:val="32"/>
          <w:szCs w:val="32"/>
          <w:highlight w:val="none"/>
          <w:lang w:eastAsia="zh-CN"/>
        </w:rPr>
        <w:t>三</w:t>
      </w:r>
      <w:r>
        <w:rPr>
          <w:rFonts w:hint="eastAsia" w:ascii="仿宋_GB2312" w:hAnsi="仿宋_GB2312" w:eastAsia="仿宋_GB2312" w:cs="仿宋_GB2312"/>
          <w:b/>
          <w:bCs/>
          <w:color w:val="555555"/>
          <w:sz w:val="32"/>
          <w:szCs w:val="32"/>
          <w:highlight w:val="none"/>
        </w:rPr>
        <w:t>条【资金管理</w:t>
      </w:r>
      <w:r>
        <w:rPr>
          <w:rFonts w:hint="eastAsia" w:ascii="仿宋_GB2312" w:hAnsi="仿宋_GB2312" w:eastAsia="仿宋_GB2312" w:cs="仿宋_GB2312"/>
          <w:color w:val="555555"/>
          <w:sz w:val="32"/>
          <w:szCs w:val="32"/>
          <w:highlight w:val="none"/>
        </w:rPr>
        <w:t>】交易场所应当建立客户资金存管或者托管制度，客户在交易场所的资金应当专户存放在商业银行，并与存管或托管银行签署监管协议，切实维护客户资金安全。任何单位和个人不得以任何形式挪用客户资金。交易场所不得借用银行信用</w:t>
      </w:r>
      <w:r>
        <w:rPr>
          <w:rFonts w:hint="eastAsia" w:ascii="仿宋_GB2312" w:hAnsi="仿宋_GB2312" w:eastAsia="仿宋_GB2312" w:cs="仿宋_GB2312"/>
          <w:color w:val="555555"/>
          <w:sz w:val="32"/>
          <w:szCs w:val="32"/>
          <w:highlight w:val="none"/>
          <w:lang w:eastAsia="zh-CN"/>
        </w:rPr>
        <w:t>进行不当宣传。</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第三十</w:t>
      </w:r>
      <w:r>
        <w:rPr>
          <w:rFonts w:hint="eastAsia" w:ascii="仿宋_GB2312" w:hAnsi="仿宋_GB2312" w:eastAsia="仿宋_GB2312" w:cs="仿宋_GB2312"/>
          <w:b/>
          <w:bCs/>
          <w:color w:val="555555"/>
          <w:sz w:val="32"/>
          <w:szCs w:val="32"/>
          <w:lang w:eastAsia="zh-CN"/>
        </w:rPr>
        <w:t>四</w:t>
      </w:r>
      <w:r>
        <w:rPr>
          <w:rFonts w:hint="eastAsia" w:ascii="仿宋_GB2312" w:hAnsi="仿宋_GB2312" w:eastAsia="仿宋_GB2312" w:cs="仿宋_GB2312"/>
          <w:b/>
          <w:bCs/>
          <w:color w:val="555555"/>
          <w:sz w:val="32"/>
          <w:szCs w:val="32"/>
        </w:rPr>
        <w:t>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b/>
          <w:bCs/>
          <w:color w:val="555555"/>
          <w:sz w:val="32"/>
          <w:szCs w:val="32"/>
        </w:rPr>
        <w:t>信息管理</w:t>
      </w:r>
      <w:r>
        <w:rPr>
          <w:rFonts w:hint="eastAsia" w:ascii="仿宋_GB2312" w:hAnsi="仿宋_GB2312" w:eastAsia="仿宋_GB2312" w:cs="仿宋_GB2312"/>
          <w:color w:val="555555"/>
          <w:sz w:val="32"/>
          <w:szCs w:val="32"/>
        </w:rPr>
        <w:t>】交易场所信息系统应当符合业务开展及监管要求，能为市级行业主管部门及联席会议办公室提供远程接入，及时提供真实、准确、完整的投资者和交易标的等数据信息，接受实时监测。交易场所信息系统开发商应当积极配合监管及其他有关部门核查有关情况。</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交易场所应当强化数据信息保护，依法获取数据，防止数据滥用；相关信息系统应当具备完整的数据安全保护和数据备份措施，确保数据安全。交易数据、投资者信息等有关资料，保存期限不得少于20年。</w:t>
      </w:r>
    </w:p>
    <w:p>
      <w:pPr>
        <w:spacing w:line="560" w:lineRule="exact"/>
        <w:ind w:firstLine="643" w:firstLineChars="200"/>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sz w:val="32"/>
          <w:szCs w:val="32"/>
        </w:rPr>
        <w:t>第三十</w:t>
      </w:r>
      <w:r>
        <w:rPr>
          <w:rFonts w:hint="eastAsia" w:ascii="仿宋_GB2312" w:hAnsi="仿宋_GB2312" w:eastAsia="仿宋_GB2312" w:cs="仿宋_GB2312"/>
          <w:b/>
          <w:bCs/>
          <w:color w:val="555555"/>
          <w:sz w:val="32"/>
          <w:szCs w:val="32"/>
          <w:lang w:eastAsia="zh-CN"/>
        </w:rPr>
        <w:t>五</w:t>
      </w:r>
      <w:r>
        <w:rPr>
          <w:rFonts w:hint="eastAsia" w:ascii="仿宋_GB2312" w:hAnsi="仿宋_GB2312" w:eastAsia="仿宋_GB2312" w:cs="仿宋_GB2312"/>
          <w:b/>
          <w:bCs/>
          <w:color w:val="555555"/>
          <w:sz w:val="32"/>
          <w:szCs w:val="32"/>
        </w:rPr>
        <w:t>条【信息披露】</w:t>
      </w:r>
      <w:r>
        <w:rPr>
          <w:rFonts w:hint="eastAsia" w:ascii="仿宋_GB2312" w:hAnsi="仿宋_GB2312" w:eastAsia="仿宋_GB2312" w:cs="仿宋_GB2312"/>
          <w:color w:val="555555"/>
          <w:sz w:val="32"/>
          <w:szCs w:val="32"/>
        </w:rPr>
        <w:t>交易场所应当建立信息披露制度</w:t>
      </w:r>
      <w:r>
        <w:rPr>
          <w:rFonts w:hint="eastAsia" w:ascii="仿宋_GB2312" w:hAnsi="仿宋_GB2312" w:eastAsia="仿宋_GB2312" w:cs="仿宋_GB2312"/>
          <w:color w:val="555555"/>
          <w:sz w:val="32"/>
          <w:szCs w:val="32"/>
          <w:lang w:eastAsia="zh-CN"/>
        </w:rPr>
        <w:t>，及时披露交易行情、重大事项等信息，定期进行风险提示。交易场所应当在官方网站公示管理制度、交易品种、交易规则、分支机构、第三方服务机构、会员及其他服务机构等信息。</w:t>
      </w:r>
    </w:p>
    <w:p>
      <w:pPr>
        <w:spacing w:line="560" w:lineRule="exact"/>
        <w:rPr>
          <w:rFonts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　　</w:t>
      </w:r>
      <w:r>
        <w:rPr>
          <w:rFonts w:hint="eastAsia" w:ascii="仿宋_GB2312" w:hAnsi="仿宋_GB2312" w:eastAsia="仿宋_GB2312" w:cs="仿宋_GB2312"/>
          <w:color w:val="555555"/>
          <w:kern w:val="0"/>
          <w:sz w:val="32"/>
          <w:szCs w:val="32"/>
          <w:lang w:eastAsia="zh-CN"/>
        </w:rPr>
        <w:t>交易场所应当对披露信息的规范性负责，</w:t>
      </w:r>
      <w:r>
        <w:rPr>
          <w:rFonts w:hint="eastAsia" w:ascii="仿宋_GB2312" w:hAnsi="仿宋_GB2312" w:eastAsia="仿宋_GB2312" w:cs="仿宋_GB2312"/>
          <w:color w:val="555555"/>
          <w:kern w:val="0"/>
          <w:sz w:val="32"/>
          <w:szCs w:val="32"/>
        </w:rPr>
        <w:t>披露的信息应当真实、准确、完整、及时，不得有虚假记载、误导性陈述或者重大遗漏。</w:t>
      </w:r>
    </w:p>
    <w:p>
      <w:pPr>
        <w:pStyle w:val="7"/>
        <w:spacing w:before="0" w:beforeAutospacing="0" w:after="0" w:afterAutospacing="0" w:line="560" w:lineRule="exact"/>
        <w:ind w:firstLine="643" w:firstLineChars="200"/>
        <w:jc w:val="both"/>
        <w:rPr>
          <w:rFonts w:hint="eastAsia" w:ascii="仿宋_GB2312" w:hAnsi="仿宋_GB2312" w:eastAsia="仿宋_GB2312" w:cs="仿宋_GB2312"/>
          <w:color w:val="555555"/>
          <w:sz w:val="32"/>
          <w:szCs w:val="32"/>
          <w:lang w:val="en-US" w:eastAsia="zh-CN"/>
        </w:rPr>
      </w:pPr>
      <w:r>
        <w:rPr>
          <w:rFonts w:hint="eastAsia" w:ascii="仿宋_GB2312" w:hAnsi="仿宋_GB2312" w:eastAsia="仿宋_GB2312" w:cs="仿宋_GB2312"/>
          <w:b/>
          <w:bCs/>
          <w:color w:val="555555"/>
          <w:sz w:val="32"/>
          <w:szCs w:val="32"/>
        </w:rPr>
        <w:t>第三十</w:t>
      </w:r>
      <w:r>
        <w:rPr>
          <w:rFonts w:hint="eastAsia" w:ascii="仿宋_GB2312" w:hAnsi="仿宋_GB2312" w:eastAsia="仿宋_GB2312" w:cs="仿宋_GB2312"/>
          <w:b/>
          <w:bCs/>
          <w:color w:val="555555"/>
          <w:sz w:val="32"/>
          <w:szCs w:val="32"/>
          <w:lang w:eastAsia="zh-CN"/>
        </w:rPr>
        <w:t>六</w:t>
      </w:r>
      <w:r>
        <w:rPr>
          <w:rFonts w:hint="eastAsia" w:ascii="仿宋_GB2312" w:hAnsi="仿宋_GB2312" w:eastAsia="仿宋_GB2312" w:cs="仿宋_GB2312"/>
          <w:b/>
          <w:bCs/>
          <w:color w:val="555555"/>
          <w:sz w:val="32"/>
          <w:szCs w:val="32"/>
        </w:rPr>
        <w:t>条【信息报送】</w:t>
      </w:r>
      <w:r>
        <w:rPr>
          <w:rFonts w:hint="eastAsia" w:ascii="仿宋_GB2312" w:hAnsi="仿宋_GB2312" w:eastAsia="仿宋_GB2312" w:cs="仿宋_GB2312"/>
          <w:color w:val="555555"/>
          <w:sz w:val="32"/>
          <w:szCs w:val="32"/>
        </w:rPr>
        <w:t>交易场所应当建立信息报送制度，定期向市级行业主管部门报送</w:t>
      </w:r>
      <w:r>
        <w:rPr>
          <w:rFonts w:hint="eastAsia" w:ascii="仿宋_GB2312" w:hAnsi="仿宋_GB2312" w:eastAsia="仿宋_GB2312" w:cs="仿宋_GB2312"/>
          <w:color w:val="555555"/>
          <w:sz w:val="32"/>
          <w:szCs w:val="32"/>
          <w:lang w:eastAsia="zh-CN"/>
        </w:rPr>
        <w:t>月度、季度、年度经营数据，以及季度、年度工作报告和经审计的年度财务报表等，其中，月度材料应在次月</w:t>
      </w:r>
      <w:r>
        <w:rPr>
          <w:rFonts w:hint="eastAsia" w:ascii="仿宋_GB2312" w:hAnsi="仿宋_GB2312" w:eastAsia="仿宋_GB2312" w:cs="仿宋_GB2312"/>
          <w:color w:val="555555"/>
          <w:sz w:val="32"/>
          <w:szCs w:val="32"/>
          <w:lang w:val="en-US" w:eastAsia="zh-CN"/>
        </w:rPr>
        <w:t>15日前上报、季度材料应在季度末的次月15日前上报，年度材料应在年末的次月15日前上报。</w:t>
      </w:r>
    </w:p>
    <w:p>
      <w:pPr>
        <w:pStyle w:val="7"/>
        <w:spacing w:before="0" w:beforeAutospacing="0" w:after="0" w:afterAutospacing="0" w:line="560" w:lineRule="exact"/>
        <w:ind w:firstLine="640" w:firstLineChars="200"/>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根据</w:t>
      </w:r>
      <w:r>
        <w:rPr>
          <w:rFonts w:hint="eastAsia" w:ascii="仿宋_GB2312" w:hAnsi="仿宋_GB2312" w:eastAsia="仿宋_GB2312" w:cs="仿宋_GB2312"/>
          <w:color w:val="555555"/>
          <w:sz w:val="32"/>
          <w:szCs w:val="32"/>
          <w:lang w:eastAsia="zh-CN"/>
        </w:rPr>
        <w:t>监管</w:t>
      </w:r>
      <w:r>
        <w:rPr>
          <w:rFonts w:hint="eastAsia" w:ascii="仿宋_GB2312" w:hAnsi="仿宋_GB2312" w:eastAsia="仿宋_GB2312" w:cs="仿宋_GB2312"/>
          <w:color w:val="555555"/>
          <w:sz w:val="32"/>
          <w:szCs w:val="32"/>
        </w:rPr>
        <w:t>需要，联席会议办公室及市级行业主管部门可以要求交易场所报送专项报告。</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交易场所</w:t>
      </w:r>
      <w:r>
        <w:rPr>
          <w:rFonts w:hint="eastAsia" w:ascii="仿宋_GB2312" w:hAnsi="仿宋_GB2312" w:eastAsia="仿宋_GB2312" w:cs="仿宋_GB2312"/>
          <w:color w:val="555555"/>
          <w:sz w:val="32"/>
          <w:szCs w:val="32"/>
          <w:lang w:eastAsia="zh-CN"/>
        </w:rPr>
        <w:t>报送和提供的数据</w:t>
      </w:r>
      <w:r>
        <w:rPr>
          <w:rFonts w:hint="eastAsia" w:ascii="仿宋_GB2312" w:hAnsi="仿宋_GB2312" w:eastAsia="仿宋_GB2312" w:cs="仿宋_GB2312"/>
          <w:color w:val="555555"/>
          <w:sz w:val="32"/>
          <w:szCs w:val="32"/>
        </w:rPr>
        <w:t>和</w:t>
      </w:r>
      <w:r>
        <w:rPr>
          <w:rFonts w:hint="eastAsia" w:ascii="仿宋_GB2312" w:hAnsi="仿宋_GB2312" w:eastAsia="仿宋_GB2312" w:cs="仿宋_GB2312"/>
          <w:color w:val="555555"/>
          <w:sz w:val="32"/>
          <w:szCs w:val="32"/>
          <w:lang w:eastAsia="zh-CN"/>
        </w:rPr>
        <w:t>材料</w:t>
      </w:r>
      <w:r>
        <w:rPr>
          <w:rFonts w:hint="eastAsia" w:ascii="仿宋_GB2312" w:hAnsi="仿宋_GB2312" w:eastAsia="仿宋_GB2312" w:cs="仿宋_GB2312"/>
          <w:color w:val="555555"/>
          <w:sz w:val="32"/>
          <w:szCs w:val="32"/>
        </w:rPr>
        <w:t>，应当真实、准确、完整</w:t>
      </w:r>
      <w:r>
        <w:rPr>
          <w:rFonts w:hint="eastAsia" w:ascii="仿宋_GB2312" w:hAnsi="仿宋_GB2312" w:eastAsia="仿宋_GB2312" w:cs="仿宋_GB2312"/>
          <w:color w:val="555555"/>
          <w:sz w:val="32"/>
          <w:szCs w:val="32"/>
          <w:lang w:eastAsia="zh-CN"/>
        </w:rPr>
        <w:t>、规范</w:t>
      </w:r>
      <w:r>
        <w:rPr>
          <w:rFonts w:hint="eastAsia" w:ascii="仿宋_GB2312" w:hAnsi="仿宋_GB2312" w:eastAsia="仿宋_GB2312" w:cs="仿宋_GB2312"/>
          <w:color w:val="555555"/>
          <w:sz w:val="32"/>
          <w:szCs w:val="32"/>
        </w:rPr>
        <w:t>。</w:t>
      </w:r>
    </w:p>
    <w:p>
      <w:pPr>
        <w:spacing w:before="0" w:beforeAutospacing="0" w:after="0" w:afterAutospacing="0" w:line="560" w:lineRule="exact"/>
        <w:ind w:firstLine="643" w:firstLineChars="200"/>
        <w:rPr>
          <w:rFonts w:ascii="仿宋_GB2312" w:hAnsi="仿宋_GB2312" w:eastAsia="仿宋_GB2312" w:cs="仿宋_GB2312"/>
          <w:color w:val="555555"/>
          <w:kern w:val="0"/>
          <w:sz w:val="32"/>
          <w:szCs w:val="32"/>
        </w:rPr>
      </w:pPr>
      <w:r>
        <w:rPr>
          <w:rFonts w:hint="eastAsia" w:ascii="仿宋_GB2312" w:hAnsi="仿宋_GB2312" w:eastAsia="仿宋_GB2312" w:cs="仿宋_GB2312"/>
          <w:b/>
          <w:bCs/>
          <w:color w:val="555555"/>
          <w:sz w:val="32"/>
          <w:szCs w:val="32"/>
        </w:rPr>
        <w:t>第三十</w:t>
      </w:r>
      <w:r>
        <w:rPr>
          <w:rFonts w:hint="eastAsia" w:ascii="仿宋_GB2312" w:hAnsi="仿宋_GB2312" w:eastAsia="仿宋_GB2312" w:cs="仿宋_GB2312"/>
          <w:b/>
          <w:bCs/>
          <w:color w:val="555555"/>
          <w:sz w:val="32"/>
          <w:szCs w:val="32"/>
          <w:lang w:eastAsia="zh-CN"/>
        </w:rPr>
        <w:t>七</w:t>
      </w:r>
      <w:r>
        <w:rPr>
          <w:rFonts w:hint="eastAsia" w:ascii="仿宋_GB2312" w:hAnsi="仿宋_GB2312" w:eastAsia="仿宋_GB2312" w:cs="仿宋_GB2312"/>
          <w:b/>
          <w:bCs/>
          <w:color w:val="555555"/>
          <w:sz w:val="32"/>
          <w:szCs w:val="32"/>
        </w:rPr>
        <w:t>条【重大事项报告</w:t>
      </w:r>
      <w:r>
        <w:rPr>
          <w:rFonts w:hint="eastAsia" w:ascii="仿宋_GB2312" w:hAnsi="仿宋_GB2312" w:eastAsia="仿宋_GB2312" w:cs="仿宋_GB2312"/>
          <w:color w:val="555555"/>
          <w:sz w:val="32"/>
          <w:szCs w:val="32"/>
        </w:rPr>
        <w:t>】交易场所</w:t>
      </w:r>
      <w:r>
        <w:rPr>
          <w:rFonts w:hint="eastAsia" w:ascii="仿宋_GB2312" w:hAnsi="仿宋_GB2312" w:eastAsia="仿宋_GB2312" w:cs="仿宋_GB2312"/>
          <w:color w:val="555555"/>
          <w:sz w:val="32"/>
          <w:szCs w:val="32"/>
          <w:lang w:eastAsia="zh-CN"/>
        </w:rPr>
        <w:t>应当建立重大事项报告制度，在重大事件发生</w:t>
      </w:r>
      <w:r>
        <w:rPr>
          <w:rFonts w:hint="eastAsia" w:ascii="仿宋_GB2312" w:hAnsi="仿宋_GB2312" w:eastAsia="仿宋_GB2312" w:cs="仿宋_GB2312"/>
          <w:color w:val="555555"/>
          <w:sz w:val="32"/>
          <w:szCs w:val="32"/>
          <w:lang w:val="en-US" w:eastAsia="zh-CN"/>
        </w:rPr>
        <w:t>2小时内向</w:t>
      </w:r>
      <w:r>
        <w:rPr>
          <w:rFonts w:hint="eastAsia" w:ascii="仿宋_GB2312" w:hAnsi="仿宋_GB2312" w:eastAsia="仿宋_GB2312" w:cs="仿宋_GB2312"/>
          <w:color w:val="555555"/>
          <w:sz w:val="32"/>
          <w:szCs w:val="32"/>
        </w:rPr>
        <w:t>市级行业主管部门</w:t>
      </w:r>
      <w:r>
        <w:rPr>
          <w:rFonts w:hint="eastAsia" w:ascii="仿宋_GB2312" w:hAnsi="仿宋_GB2312" w:eastAsia="仿宋_GB2312" w:cs="仿宋_GB2312"/>
          <w:color w:val="555555"/>
          <w:sz w:val="32"/>
          <w:szCs w:val="32"/>
          <w:lang w:eastAsia="zh-CN"/>
        </w:rPr>
        <w:t>告知简要情况，</w:t>
      </w:r>
      <w:r>
        <w:rPr>
          <w:rFonts w:hint="eastAsia" w:ascii="仿宋_GB2312" w:hAnsi="仿宋_GB2312" w:eastAsia="仿宋_GB2312" w:cs="仿宋_GB2312"/>
          <w:color w:val="555555"/>
          <w:sz w:val="32"/>
          <w:szCs w:val="32"/>
          <w:lang w:val="en-US" w:eastAsia="zh-CN"/>
        </w:rPr>
        <w:t>12小时内书面报告具体情况</w:t>
      </w:r>
      <w:r>
        <w:rPr>
          <w:rFonts w:hint="eastAsia" w:ascii="仿宋_GB2312" w:hAnsi="仿宋_GB2312" w:eastAsia="仿宋_GB2312" w:cs="仿宋_GB2312"/>
          <w:color w:val="555555"/>
          <w:sz w:val="32"/>
          <w:szCs w:val="32"/>
        </w:rPr>
        <w:t>，并抄送联席会议办公室</w:t>
      </w:r>
      <w:r>
        <w:rPr>
          <w:rFonts w:hint="eastAsia" w:ascii="仿宋_GB2312" w:hAnsi="仿宋_GB2312" w:eastAsia="仿宋_GB2312" w:cs="仿宋_GB2312"/>
          <w:color w:val="555555"/>
          <w:kern w:val="0"/>
          <w:sz w:val="32"/>
          <w:szCs w:val="32"/>
        </w:rPr>
        <w:t>和注册地区政府：</w:t>
      </w:r>
    </w:p>
    <w:p>
      <w:pPr>
        <w:spacing w:line="560" w:lineRule="exact"/>
        <w:ind w:firstLine="640" w:firstLineChars="200"/>
        <w:rPr>
          <w:rFonts w:hint="eastAsia"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（一）交易场所或其法定代表人</w:t>
      </w:r>
      <w:r>
        <w:rPr>
          <w:rFonts w:hint="eastAsia" w:ascii="仿宋_GB2312" w:hAnsi="仿宋_GB2312" w:eastAsia="仿宋_GB2312" w:cs="仿宋_GB2312"/>
          <w:color w:val="555555"/>
          <w:kern w:val="0"/>
          <w:sz w:val="32"/>
          <w:szCs w:val="32"/>
          <w:lang w:eastAsia="zh-CN"/>
        </w:rPr>
        <w:t>、</w:t>
      </w:r>
      <w:r>
        <w:rPr>
          <w:rFonts w:hint="eastAsia" w:ascii="仿宋_GB2312" w:hAnsi="仿宋_GB2312" w:eastAsia="仿宋_GB2312" w:cs="仿宋_GB2312"/>
          <w:color w:val="555555"/>
          <w:kern w:val="0"/>
          <w:sz w:val="32"/>
          <w:szCs w:val="32"/>
        </w:rPr>
        <w:t>董事、监事、高级管理人员因涉嫌重大违法违规行为被立案调查或者采取强制措施；</w:t>
      </w:r>
    </w:p>
    <w:p>
      <w:pPr>
        <w:spacing w:line="560" w:lineRule="exact"/>
        <w:ind w:firstLine="640" w:firstLineChars="200"/>
        <w:rPr>
          <w:rFonts w:hint="eastAsia"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（二）交易场所发生对其经营有较大影响的诉讼或仲裁案件；</w:t>
      </w:r>
    </w:p>
    <w:p>
      <w:pPr>
        <w:spacing w:line="560" w:lineRule="exact"/>
        <w:ind w:firstLine="640" w:firstLineChars="200"/>
        <w:rPr>
          <w:rFonts w:hint="eastAsia"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（三）交易场所出现重大财务风险或经营风险，可能影响投资者等各方合法权益；</w:t>
      </w:r>
    </w:p>
    <w:p>
      <w:pPr>
        <w:spacing w:line="560" w:lineRule="exact"/>
        <w:ind w:firstLine="640" w:firstLineChars="200"/>
        <w:rPr>
          <w:rFonts w:hint="eastAsia"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（四）控股股东出现影响其行使股东权利的重大事项；</w:t>
      </w:r>
    </w:p>
    <w:p>
      <w:pPr>
        <w:spacing w:line="560" w:lineRule="exact"/>
        <w:ind w:firstLine="640" w:firstLineChars="200"/>
        <w:rPr>
          <w:rFonts w:hint="eastAsia"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（五）交易场所信息系统出现重大故障、重要备份数据丢失、受到突发网络攻击或停止运行等影响交易安全情况；</w:t>
      </w:r>
    </w:p>
    <w:p>
      <w:pPr>
        <w:spacing w:before="0" w:beforeAutospacing="0" w:after="0" w:afterAutospacing="0" w:line="560" w:lineRule="exact"/>
        <w:ind w:firstLine="640" w:firstLineChars="200"/>
        <w:rPr>
          <w:rFonts w:hint="eastAsia" w:ascii="仿宋_GB2312" w:hAnsi="仿宋_GB2312" w:eastAsia="仿宋_GB2312" w:cs="仿宋_GB2312"/>
          <w:color w:val="555555"/>
          <w:kern w:val="0"/>
          <w:sz w:val="32"/>
          <w:szCs w:val="32"/>
        </w:rPr>
      </w:pPr>
      <w:r>
        <w:rPr>
          <w:rFonts w:hint="eastAsia" w:ascii="仿宋_GB2312" w:hAnsi="仿宋_GB2312" w:eastAsia="仿宋_GB2312" w:cs="仿宋_GB2312"/>
          <w:color w:val="555555"/>
          <w:kern w:val="0"/>
          <w:sz w:val="32"/>
          <w:szCs w:val="32"/>
        </w:rPr>
        <w:t>（六）其他对社会稳定产生重大影响的事项。</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市级行业主管部门</w:t>
      </w:r>
      <w:r>
        <w:rPr>
          <w:rFonts w:hint="eastAsia" w:ascii="仿宋_GB2312" w:hAnsi="仿宋_GB2312" w:eastAsia="仿宋_GB2312" w:cs="仿宋_GB2312"/>
          <w:color w:val="555555"/>
          <w:sz w:val="32"/>
          <w:szCs w:val="32"/>
          <w:lang w:eastAsia="zh-CN"/>
        </w:rPr>
        <w:t>、联席会议办公室</w:t>
      </w:r>
      <w:r>
        <w:rPr>
          <w:rFonts w:hint="eastAsia" w:ascii="仿宋_GB2312" w:hAnsi="仿宋_GB2312" w:eastAsia="仿宋_GB2312" w:cs="仿宋_GB2312"/>
          <w:color w:val="555555"/>
          <w:sz w:val="32"/>
          <w:szCs w:val="32"/>
        </w:rPr>
        <w:t>可以根据工作需要，要求交易场所说明事件的起因、目前的状态、可能产生的后果和拟采取的措施。</w:t>
      </w:r>
    </w:p>
    <w:p>
      <w:pPr>
        <w:pStyle w:val="7"/>
        <w:spacing w:before="0" w:beforeAutospacing="0" w:after="0" w:afterAutospacing="0" w:line="560" w:lineRule="exact"/>
        <w:ind w:firstLine="643" w:firstLineChars="200"/>
        <w:jc w:val="center"/>
        <w:rPr>
          <w:rFonts w:ascii="仿宋_GB2312" w:hAnsi="仿宋_GB2312" w:eastAsia="仿宋_GB2312" w:cs="仿宋_GB2312"/>
          <w:b/>
          <w:bCs/>
          <w:color w:val="555555"/>
          <w:sz w:val="32"/>
          <w:szCs w:val="32"/>
        </w:rPr>
      </w:pPr>
    </w:p>
    <w:p>
      <w:pPr>
        <w:pStyle w:val="7"/>
        <w:spacing w:before="0" w:beforeAutospacing="0" w:after="0" w:afterAutospacing="0" w:line="560" w:lineRule="exact"/>
        <w:jc w:val="center"/>
        <w:rPr>
          <w:rFonts w:ascii="仿宋_GB2312" w:hAnsi="仿宋_GB2312" w:eastAsia="仿宋_GB2312" w:cs="仿宋_GB2312"/>
          <w:b/>
          <w:bCs/>
          <w:color w:val="555555"/>
          <w:sz w:val="32"/>
          <w:szCs w:val="32"/>
        </w:rPr>
      </w:pPr>
      <w:r>
        <w:rPr>
          <w:rFonts w:hint="eastAsia" w:ascii="仿宋_GB2312" w:hAnsi="仿宋_GB2312" w:eastAsia="仿宋_GB2312" w:cs="仿宋_GB2312"/>
          <w:b/>
          <w:bCs/>
          <w:color w:val="555555"/>
          <w:sz w:val="32"/>
          <w:szCs w:val="32"/>
        </w:rPr>
        <w:t>第四章 监督管理</w:t>
      </w:r>
    </w:p>
    <w:p>
      <w:pPr>
        <w:pStyle w:val="7"/>
        <w:spacing w:before="0" w:beforeAutospacing="0" w:after="0" w:afterAutospacing="0" w:line="560" w:lineRule="exact"/>
        <w:ind w:firstLine="643" w:firstLineChars="200"/>
        <w:jc w:val="center"/>
        <w:rPr>
          <w:rFonts w:ascii="仿宋_GB2312" w:hAnsi="仿宋_GB2312" w:eastAsia="仿宋_GB2312" w:cs="仿宋_GB2312"/>
          <w:b/>
          <w:bCs/>
          <w:color w:val="555555"/>
          <w:sz w:val="32"/>
          <w:szCs w:val="32"/>
        </w:rPr>
      </w:pP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highlight w:val="yellow"/>
        </w:rPr>
      </w:pPr>
      <w:r>
        <w:rPr>
          <w:rFonts w:hint="eastAsia" w:ascii="仿宋_GB2312" w:hAnsi="仿宋_GB2312" w:eastAsia="仿宋_GB2312" w:cs="仿宋_GB2312"/>
          <w:b/>
          <w:bCs/>
          <w:color w:val="555555"/>
          <w:sz w:val="32"/>
          <w:szCs w:val="32"/>
        </w:rPr>
        <w:t>第三十</w:t>
      </w:r>
      <w:r>
        <w:rPr>
          <w:rFonts w:hint="eastAsia" w:ascii="仿宋_GB2312" w:hAnsi="仿宋_GB2312" w:eastAsia="仿宋_GB2312" w:cs="仿宋_GB2312"/>
          <w:b/>
          <w:bCs/>
          <w:color w:val="555555"/>
          <w:sz w:val="32"/>
          <w:szCs w:val="32"/>
          <w:lang w:eastAsia="zh-CN"/>
        </w:rPr>
        <w:t>八</w:t>
      </w:r>
      <w:r>
        <w:rPr>
          <w:rFonts w:hint="eastAsia" w:ascii="仿宋_GB2312" w:hAnsi="仿宋_GB2312" w:eastAsia="仿宋_GB2312" w:cs="仿宋_GB2312"/>
          <w:b/>
          <w:bCs/>
          <w:color w:val="555555"/>
          <w:sz w:val="32"/>
          <w:szCs w:val="32"/>
        </w:rPr>
        <w:t>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b/>
          <w:bCs/>
          <w:color w:val="555555"/>
          <w:sz w:val="32"/>
          <w:szCs w:val="32"/>
        </w:rPr>
        <w:t>监管原则】</w:t>
      </w:r>
      <w:r>
        <w:rPr>
          <w:rFonts w:hint="eastAsia" w:ascii="仿宋_GB2312" w:hAnsi="仿宋_GB2312" w:eastAsia="仿宋_GB2312" w:cs="仿宋_GB2312"/>
          <w:color w:val="555555"/>
          <w:sz w:val="32"/>
          <w:szCs w:val="32"/>
        </w:rPr>
        <w:t>本市按照“统筹协调、分业管理、行业自律”的原则对交易场所进行监督管理。</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w:t>
      </w:r>
      <w:r>
        <w:rPr>
          <w:rFonts w:hint="eastAsia" w:ascii="仿宋_GB2312" w:hAnsi="仿宋_GB2312" w:eastAsia="仿宋_GB2312" w:cs="仿宋_GB2312"/>
          <w:b/>
          <w:bCs/>
          <w:color w:val="555555"/>
          <w:sz w:val="32"/>
          <w:szCs w:val="32"/>
          <w:lang w:eastAsia="zh-CN"/>
        </w:rPr>
        <w:t>三十九</w:t>
      </w:r>
      <w:r>
        <w:rPr>
          <w:rFonts w:hint="eastAsia" w:ascii="仿宋_GB2312" w:hAnsi="仿宋_GB2312" w:eastAsia="仿宋_GB2312" w:cs="仿宋_GB2312"/>
          <w:b/>
          <w:bCs/>
          <w:color w:val="555555"/>
          <w:sz w:val="32"/>
          <w:szCs w:val="32"/>
        </w:rPr>
        <w:t>条【联席会议职责】</w:t>
      </w:r>
      <w:r>
        <w:rPr>
          <w:rFonts w:hint="eastAsia" w:ascii="仿宋_GB2312" w:hAnsi="仿宋_GB2312" w:eastAsia="仿宋_GB2312" w:cs="仿宋_GB2312"/>
          <w:color w:val="555555"/>
          <w:sz w:val="32"/>
          <w:szCs w:val="32"/>
        </w:rPr>
        <w:t>联席会议负责指导、协调交易场所规范管理工作，主要职责如下：</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（一）</w:t>
      </w:r>
      <w:r>
        <w:rPr>
          <w:rFonts w:hint="eastAsia" w:ascii="仿宋_GB2312" w:hAnsi="仿宋_GB2312" w:eastAsia="仿宋_GB2312" w:cs="仿宋_GB2312"/>
          <w:color w:val="555555"/>
          <w:sz w:val="32"/>
          <w:szCs w:val="32"/>
          <w:lang w:eastAsia="zh-CN"/>
        </w:rPr>
        <w:t>研究</w:t>
      </w:r>
      <w:r>
        <w:rPr>
          <w:rFonts w:hint="eastAsia" w:ascii="仿宋_GB2312" w:hAnsi="仿宋_GB2312" w:eastAsia="仿宋_GB2312" w:cs="仿宋_GB2312"/>
          <w:color w:val="555555"/>
          <w:sz w:val="32"/>
          <w:szCs w:val="32"/>
        </w:rPr>
        <w:t>交易场所设立申请；</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（二）</w:t>
      </w:r>
      <w:r>
        <w:rPr>
          <w:rFonts w:hint="eastAsia" w:ascii="仿宋_GB2312" w:hAnsi="仿宋_GB2312" w:eastAsia="仿宋_GB2312" w:cs="仿宋_GB2312"/>
          <w:color w:val="555555"/>
          <w:sz w:val="32"/>
          <w:szCs w:val="32"/>
          <w:lang w:eastAsia="zh-CN"/>
        </w:rPr>
        <w:t>研究</w:t>
      </w:r>
      <w:r>
        <w:rPr>
          <w:rFonts w:hint="eastAsia" w:ascii="仿宋_GB2312" w:hAnsi="仿宋_GB2312" w:eastAsia="仿宋_GB2312" w:cs="仿宋_GB2312"/>
          <w:color w:val="555555"/>
          <w:sz w:val="32"/>
          <w:szCs w:val="32"/>
        </w:rPr>
        <w:t>确定交易场所的市级行业主管部门；</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（三）研究交易场所发展</w:t>
      </w:r>
      <w:r>
        <w:rPr>
          <w:rFonts w:hint="eastAsia" w:ascii="仿宋_GB2312" w:hAnsi="仿宋_GB2312" w:eastAsia="仿宋_GB2312" w:cs="仿宋_GB2312"/>
          <w:color w:val="555555"/>
          <w:sz w:val="32"/>
          <w:szCs w:val="32"/>
          <w:lang w:eastAsia="zh-CN"/>
        </w:rPr>
        <w:t>及风险处置等</w:t>
      </w:r>
      <w:r>
        <w:rPr>
          <w:rFonts w:hint="eastAsia" w:ascii="仿宋_GB2312" w:hAnsi="仿宋_GB2312" w:eastAsia="仿宋_GB2312" w:cs="仿宋_GB2312"/>
          <w:color w:val="555555"/>
          <w:sz w:val="32"/>
          <w:szCs w:val="32"/>
        </w:rPr>
        <w:t>重大问题；</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（四）</w:t>
      </w:r>
      <w:r>
        <w:rPr>
          <w:rFonts w:hint="eastAsia" w:ascii="仿宋_GB2312" w:hAnsi="仿宋_GB2312" w:eastAsia="仿宋_GB2312" w:cs="仿宋_GB2312"/>
          <w:color w:val="555555"/>
          <w:sz w:val="32"/>
          <w:szCs w:val="32"/>
          <w:lang w:eastAsia="zh-CN"/>
        </w:rPr>
        <w:t>研究部署</w:t>
      </w:r>
      <w:r>
        <w:rPr>
          <w:rFonts w:hint="eastAsia" w:ascii="仿宋_GB2312" w:hAnsi="仿宋_GB2312" w:eastAsia="仿宋_GB2312" w:cs="仿宋_GB2312"/>
          <w:color w:val="555555"/>
          <w:sz w:val="32"/>
          <w:szCs w:val="32"/>
        </w:rPr>
        <w:t>清理整顿各类交易场所部际联席会议及市政府交办的其他事项。</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lang w:eastAsia="zh-CN"/>
        </w:rPr>
        <w:t>市地方金融监管局（</w:t>
      </w:r>
      <w:r>
        <w:rPr>
          <w:rFonts w:hint="eastAsia" w:ascii="仿宋_GB2312" w:hAnsi="仿宋_GB2312" w:eastAsia="仿宋_GB2312" w:cs="仿宋_GB2312"/>
          <w:color w:val="555555"/>
          <w:sz w:val="32"/>
          <w:szCs w:val="32"/>
        </w:rPr>
        <w:t>联席会议办公室</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履行以下职责：</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（一）督促联席会议各成员单位贯彻落实联席会议的有关决定；</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（二）</w:t>
      </w:r>
      <w:r>
        <w:rPr>
          <w:rFonts w:hint="eastAsia" w:ascii="仿宋_GB2312" w:hAnsi="仿宋_GB2312" w:eastAsia="仿宋_GB2312" w:cs="仿宋_GB2312"/>
          <w:color w:val="555555"/>
          <w:sz w:val="32"/>
          <w:szCs w:val="32"/>
          <w:lang w:eastAsia="zh-CN"/>
        </w:rPr>
        <w:t>指导</w:t>
      </w:r>
      <w:r>
        <w:rPr>
          <w:rFonts w:hint="eastAsia" w:ascii="仿宋_GB2312" w:hAnsi="仿宋_GB2312" w:eastAsia="仿宋_GB2312" w:cs="仿宋_GB2312"/>
          <w:color w:val="555555"/>
          <w:sz w:val="32"/>
          <w:szCs w:val="32"/>
        </w:rPr>
        <w:t>市级行业主管部门制定相关交易场所监管制度，开展准入管理和业务规范工作；</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（三）按照国家有关规定，</w:t>
      </w:r>
      <w:r>
        <w:rPr>
          <w:rFonts w:hint="eastAsia" w:ascii="仿宋_GB2312" w:hAnsi="仿宋_GB2312" w:eastAsia="仿宋_GB2312" w:cs="仿宋_GB2312"/>
          <w:color w:val="555555"/>
          <w:sz w:val="32"/>
          <w:szCs w:val="32"/>
          <w:lang w:eastAsia="zh-CN"/>
        </w:rPr>
        <w:t>牵头开展清理整顿各类交易场所工作，指导</w:t>
      </w:r>
      <w:r>
        <w:rPr>
          <w:rFonts w:hint="eastAsia" w:ascii="仿宋_GB2312" w:hAnsi="仿宋_GB2312" w:eastAsia="仿宋_GB2312" w:cs="仿宋_GB2312"/>
          <w:color w:val="555555"/>
          <w:sz w:val="32"/>
          <w:szCs w:val="32"/>
        </w:rPr>
        <w:t>市级行业主管部门、</w:t>
      </w:r>
      <w:r>
        <w:rPr>
          <w:rFonts w:hint="eastAsia" w:ascii="仿宋_GB2312" w:hAnsi="仿宋_GB2312" w:eastAsia="仿宋_GB2312" w:cs="仿宋_GB2312"/>
          <w:color w:val="555555"/>
          <w:sz w:val="32"/>
          <w:szCs w:val="32"/>
          <w:lang w:eastAsia="zh-CN"/>
        </w:rPr>
        <w:t>中央</w:t>
      </w:r>
      <w:r>
        <w:rPr>
          <w:rFonts w:hint="eastAsia" w:ascii="仿宋_GB2312" w:hAnsi="仿宋_GB2312" w:eastAsia="仿宋_GB2312" w:cs="仿宋_GB2312"/>
          <w:color w:val="555555"/>
          <w:sz w:val="32"/>
          <w:szCs w:val="32"/>
        </w:rPr>
        <w:t>驻深金融管理部门组织抽查与合规会商，对发现的问题督促并协调相关部门按职责分工及时处置;</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（四）牵头建立跨部门交易场所统计监测和风险分析</w:t>
      </w:r>
      <w:r>
        <w:rPr>
          <w:rFonts w:hint="eastAsia" w:ascii="仿宋_GB2312" w:hAnsi="仿宋_GB2312" w:eastAsia="仿宋_GB2312" w:cs="仿宋_GB2312"/>
          <w:color w:val="555555"/>
          <w:sz w:val="32"/>
          <w:szCs w:val="32"/>
          <w:lang w:eastAsia="zh-CN"/>
        </w:rPr>
        <w:t>机制</w:t>
      </w:r>
      <w:r>
        <w:rPr>
          <w:rFonts w:hint="eastAsia" w:ascii="仿宋_GB2312" w:hAnsi="仿宋_GB2312" w:eastAsia="仿宋_GB2312" w:cs="仿宋_GB2312"/>
          <w:color w:val="555555"/>
          <w:sz w:val="32"/>
          <w:szCs w:val="32"/>
        </w:rPr>
        <w:t>；</w:t>
      </w:r>
    </w:p>
    <w:p>
      <w:pPr>
        <w:pStyle w:val="7"/>
        <w:spacing w:before="0" w:beforeAutospacing="0" w:after="0" w:afterAutospacing="0" w:line="560" w:lineRule="exact"/>
        <w:ind w:firstLine="640" w:firstLineChars="200"/>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（五）与</w:t>
      </w:r>
      <w:r>
        <w:rPr>
          <w:rFonts w:hint="eastAsia" w:ascii="仿宋_GB2312" w:hAnsi="仿宋_GB2312" w:eastAsia="仿宋_GB2312" w:cs="仿宋_GB2312"/>
          <w:color w:val="555555"/>
          <w:sz w:val="32"/>
          <w:szCs w:val="32"/>
          <w:lang w:eastAsia="zh-CN"/>
        </w:rPr>
        <w:t>市级行业主管部门</w:t>
      </w:r>
      <w:r>
        <w:rPr>
          <w:rFonts w:hint="eastAsia" w:ascii="仿宋_GB2312" w:hAnsi="仿宋_GB2312" w:eastAsia="仿宋_GB2312" w:cs="仿宋_GB2312"/>
          <w:color w:val="555555"/>
          <w:sz w:val="32"/>
          <w:szCs w:val="32"/>
        </w:rPr>
        <w:t>、中央驻深金融监管部门、各区政府建立监督管理、风险防范协调和信息共享机制；</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lang w:eastAsia="zh-CN"/>
        </w:rPr>
        <w:t>（六）</w:t>
      </w:r>
      <w:r>
        <w:rPr>
          <w:rFonts w:hint="eastAsia" w:ascii="仿宋_GB2312" w:hAnsi="仿宋_GB2312" w:eastAsia="仿宋_GB2312" w:cs="仿宋_GB2312"/>
          <w:color w:val="555555"/>
          <w:sz w:val="32"/>
          <w:szCs w:val="32"/>
        </w:rPr>
        <w:t>指导交易场所协会开展行业自律管理工作；</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七</w:t>
      </w:r>
      <w:r>
        <w:rPr>
          <w:rFonts w:hint="eastAsia" w:ascii="仿宋_GB2312" w:hAnsi="仿宋_GB2312" w:eastAsia="仿宋_GB2312" w:cs="仿宋_GB2312"/>
          <w:color w:val="555555"/>
          <w:sz w:val="32"/>
          <w:szCs w:val="32"/>
        </w:rPr>
        <w:t>）履行联席会议交办的其他职责。</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w:t>
      </w:r>
      <w:r>
        <w:rPr>
          <w:rFonts w:hint="eastAsia" w:ascii="仿宋_GB2312" w:hAnsi="仿宋_GB2312" w:eastAsia="仿宋_GB2312" w:cs="仿宋_GB2312"/>
          <w:b/>
          <w:bCs/>
          <w:color w:val="555555"/>
          <w:sz w:val="32"/>
          <w:szCs w:val="32"/>
          <w:lang w:eastAsia="zh-CN"/>
        </w:rPr>
        <w:t>四十</w:t>
      </w:r>
      <w:r>
        <w:rPr>
          <w:rFonts w:hint="eastAsia" w:ascii="仿宋_GB2312" w:hAnsi="仿宋_GB2312" w:eastAsia="仿宋_GB2312" w:cs="仿宋_GB2312"/>
          <w:b/>
          <w:bCs/>
          <w:color w:val="555555"/>
          <w:sz w:val="32"/>
          <w:szCs w:val="32"/>
        </w:rPr>
        <w:t>条【市级行业主管部门职责】</w:t>
      </w:r>
      <w:r>
        <w:rPr>
          <w:rFonts w:hint="eastAsia" w:ascii="仿宋_GB2312" w:hAnsi="仿宋_GB2312" w:eastAsia="仿宋_GB2312" w:cs="仿宋_GB2312"/>
          <w:color w:val="555555"/>
          <w:sz w:val="32"/>
          <w:szCs w:val="32"/>
        </w:rPr>
        <w:t>市级行业主管部门对本行业交易场所履行以下职责：</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（一）建立健全其监管类别的交易场所管理制度；</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（二）对交易场所</w:t>
      </w:r>
      <w:r>
        <w:rPr>
          <w:rFonts w:hint="eastAsia" w:ascii="仿宋_GB2312" w:hAnsi="仿宋_GB2312" w:eastAsia="仿宋_GB2312" w:cs="仿宋_GB2312"/>
          <w:color w:val="555555"/>
          <w:sz w:val="32"/>
          <w:szCs w:val="32"/>
          <w:lang w:eastAsia="zh-CN"/>
        </w:rPr>
        <w:t>实施日常监管</w:t>
      </w:r>
      <w:r>
        <w:rPr>
          <w:rFonts w:hint="eastAsia" w:ascii="仿宋_GB2312" w:hAnsi="仿宋_GB2312" w:eastAsia="仿宋_GB2312" w:cs="仿宋_GB2312"/>
          <w:color w:val="555555"/>
          <w:sz w:val="32"/>
          <w:szCs w:val="32"/>
        </w:rPr>
        <w:t>，做好统计监测、信访投诉、违法违规处理、风险处置等工作；</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（三）根据经营管理、合规程度、客户或投资者合法权益保护、服务实体经济等情况，对交易场所进行年度评价；</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（四）督促违法违规交易场所整改，引导交易场所规范发展；</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（五）根据交易场所规范发展和服务实体经济需要，按照转变政府职能、优化营商环境要求，持续提高对交易场所的监管能力和服务水平；</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六</w:t>
      </w:r>
      <w:r>
        <w:rPr>
          <w:rFonts w:hint="eastAsia" w:ascii="仿宋_GB2312" w:hAnsi="仿宋_GB2312" w:eastAsia="仿宋_GB2312" w:cs="仿宋_GB2312"/>
          <w:color w:val="555555"/>
          <w:sz w:val="32"/>
          <w:szCs w:val="32"/>
        </w:rPr>
        <w:t>）履行联席会议交办的其他</w:t>
      </w:r>
      <w:r>
        <w:rPr>
          <w:rFonts w:hint="eastAsia" w:ascii="仿宋_GB2312" w:hAnsi="仿宋_GB2312" w:eastAsia="仿宋_GB2312" w:cs="仿宋_GB2312"/>
          <w:color w:val="555555"/>
          <w:sz w:val="32"/>
          <w:szCs w:val="32"/>
          <w:lang w:eastAsia="zh-CN"/>
        </w:rPr>
        <w:t>事项</w:t>
      </w:r>
      <w:r>
        <w:rPr>
          <w:rFonts w:hint="eastAsia" w:ascii="仿宋_GB2312" w:hAnsi="仿宋_GB2312" w:eastAsia="仿宋_GB2312" w:cs="仿宋_GB2312"/>
          <w:color w:val="555555"/>
          <w:sz w:val="32"/>
          <w:szCs w:val="32"/>
        </w:rPr>
        <w:t>。</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第四十</w:t>
      </w:r>
      <w:r>
        <w:rPr>
          <w:rFonts w:hint="eastAsia" w:ascii="仿宋_GB2312" w:hAnsi="仿宋_GB2312" w:eastAsia="仿宋_GB2312" w:cs="仿宋_GB2312"/>
          <w:b/>
          <w:bCs/>
          <w:color w:val="555555"/>
          <w:sz w:val="32"/>
          <w:szCs w:val="32"/>
          <w:lang w:eastAsia="zh-CN"/>
        </w:rPr>
        <w:t>一</w:t>
      </w:r>
      <w:r>
        <w:rPr>
          <w:rFonts w:hint="eastAsia" w:ascii="仿宋_GB2312" w:hAnsi="仿宋_GB2312" w:eastAsia="仿宋_GB2312" w:cs="仿宋_GB2312"/>
          <w:b/>
          <w:bCs/>
          <w:color w:val="555555"/>
          <w:sz w:val="32"/>
          <w:szCs w:val="32"/>
        </w:rPr>
        <w:t>条【联席会议相关成员单位职责】</w:t>
      </w:r>
      <w:r>
        <w:rPr>
          <w:rFonts w:hint="eastAsia" w:ascii="仿宋_GB2312" w:hAnsi="仿宋_GB2312" w:eastAsia="仿宋_GB2312" w:cs="仿宋_GB2312"/>
          <w:color w:val="555555"/>
          <w:sz w:val="32"/>
          <w:szCs w:val="32"/>
        </w:rPr>
        <w:t>联席会议相关成员单位对各类交易场所进行协同监管，分别履行下列职责：</w:t>
      </w:r>
    </w:p>
    <w:p>
      <w:pPr>
        <w:pStyle w:val="7"/>
        <w:numPr>
          <w:ilvl w:val="0"/>
          <w:numId w:val="3"/>
        </w:numPr>
        <w:spacing w:before="0" w:beforeAutospacing="0" w:after="0" w:afterAutospacing="0" w:line="560" w:lineRule="exact"/>
        <w:ind w:firstLine="640" w:firstLineChars="200"/>
        <w:rPr>
          <w:rFonts w:hint="eastAsia" w:ascii="仿宋_GB2312" w:hAnsi="仿宋_GB2312" w:eastAsia="仿宋_GB2312" w:cs="仿宋_GB2312"/>
          <w:color w:val="555555"/>
          <w:sz w:val="32"/>
          <w:szCs w:val="32"/>
          <w:lang w:eastAsia="zh-CN"/>
        </w:rPr>
      </w:pPr>
      <w:r>
        <w:rPr>
          <w:rFonts w:hint="eastAsia" w:ascii="仿宋_GB2312" w:hAnsi="仿宋_GB2312" w:eastAsia="仿宋_GB2312" w:cs="仿宋_GB2312"/>
          <w:color w:val="555555"/>
          <w:sz w:val="32"/>
          <w:szCs w:val="32"/>
        </w:rPr>
        <w:t>市委编办负责</w:t>
      </w:r>
      <w:r>
        <w:rPr>
          <w:rFonts w:hint="eastAsia" w:ascii="仿宋_GB2312" w:hAnsi="仿宋_GB2312" w:eastAsia="仿宋_GB2312" w:cs="仿宋_GB2312"/>
          <w:color w:val="555555"/>
          <w:sz w:val="32"/>
          <w:szCs w:val="32"/>
          <w:lang w:eastAsia="zh-CN"/>
        </w:rPr>
        <w:t>对</w:t>
      </w:r>
      <w:r>
        <w:rPr>
          <w:rFonts w:hint="eastAsia" w:ascii="仿宋_GB2312" w:hAnsi="仿宋_GB2312" w:eastAsia="仿宋_GB2312" w:cs="仿宋_GB2312"/>
          <w:color w:val="555555"/>
          <w:sz w:val="32"/>
          <w:szCs w:val="32"/>
        </w:rPr>
        <w:t>拟新设交易场所</w:t>
      </w:r>
      <w:r>
        <w:rPr>
          <w:rFonts w:hint="eastAsia" w:ascii="仿宋_GB2312" w:hAnsi="仿宋_GB2312" w:eastAsia="仿宋_GB2312" w:cs="仿宋_GB2312"/>
          <w:color w:val="555555"/>
          <w:sz w:val="32"/>
          <w:szCs w:val="32"/>
          <w:lang w:eastAsia="zh-CN"/>
        </w:rPr>
        <w:t>的市级</w:t>
      </w:r>
      <w:r>
        <w:rPr>
          <w:rFonts w:hint="eastAsia" w:ascii="仿宋_GB2312" w:hAnsi="仿宋_GB2312" w:eastAsia="仿宋_GB2312" w:cs="仿宋_GB2312"/>
          <w:color w:val="555555"/>
          <w:sz w:val="32"/>
          <w:szCs w:val="32"/>
        </w:rPr>
        <w:t>行业主管部门</w:t>
      </w:r>
      <w:r>
        <w:rPr>
          <w:rFonts w:hint="eastAsia" w:ascii="仿宋_GB2312" w:hAnsi="仿宋_GB2312" w:eastAsia="仿宋_GB2312" w:cs="仿宋_GB2312"/>
          <w:color w:val="555555"/>
          <w:sz w:val="32"/>
          <w:szCs w:val="32"/>
          <w:lang w:eastAsia="zh-CN"/>
        </w:rPr>
        <w:t>提出意见建议，并向联席会议办公室出具书面意见。</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二</w:t>
      </w:r>
      <w:r>
        <w:rPr>
          <w:rFonts w:hint="eastAsia" w:ascii="仿宋_GB2312" w:hAnsi="仿宋_GB2312" w:eastAsia="仿宋_GB2312" w:cs="仿宋_GB2312"/>
          <w:color w:val="555555"/>
          <w:sz w:val="32"/>
          <w:szCs w:val="32"/>
        </w:rPr>
        <w:t>）市委宣传部、市委网信办、市文化广电旅游体育局负责指导和督促媒体加强管理，依法查处交易场所的违法违规宣传推广活动。</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三</w:t>
      </w:r>
      <w:r>
        <w:rPr>
          <w:rFonts w:hint="eastAsia" w:ascii="仿宋_GB2312" w:hAnsi="仿宋_GB2312" w:eastAsia="仿宋_GB2312" w:cs="仿宋_GB2312"/>
          <w:color w:val="555555"/>
          <w:sz w:val="32"/>
          <w:szCs w:val="32"/>
        </w:rPr>
        <w:t>）市委网信办、市通信管理局会同市级行业主管部门加强对交易场所网站、应用程序、微信公账号等的动态监测</w:t>
      </w:r>
      <w:r>
        <w:rPr>
          <w:rFonts w:hint="eastAsia" w:ascii="仿宋_GB2312" w:hAnsi="仿宋_GB2312" w:eastAsia="仿宋_GB2312" w:cs="仿宋_GB2312"/>
          <w:color w:val="555555"/>
          <w:sz w:val="32"/>
          <w:szCs w:val="32"/>
          <w:lang w:eastAsia="zh-CN"/>
        </w:rPr>
        <w:t>和舆情处置</w:t>
      </w:r>
      <w:r>
        <w:rPr>
          <w:rFonts w:hint="eastAsia" w:ascii="仿宋_GB2312" w:hAnsi="仿宋_GB2312" w:eastAsia="仿宋_GB2312" w:cs="仿宋_GB2312"/>
          <w:color w:val="555555"/>
          <w:sz w:val="32"/>
          <w:szCs w:val="32"/>
        </w:rPr>
        <w:t>；市通信管理局根据行业主管部门的处置意见，对相关违法违规交易场所网站和应用程序依法实施处置。</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四</w:t>
      </w:r>
      <w:r>
        <w:rPr>
          <w:rFonts w:hint="eastAsia" w:ascii="仿宋_GB2312" w:hAnsi="仿宋_GB2312" w:eastAsia="仿宋_GB2312" w:cs="仿宋_GB2312"/>
          <w:color w:val="555555"/>
          <w:sz w:val="32"/>
          <w:szCs w:val="32"/>
        </w:rPr>
        <w:t>）市公安局依法对交易场所涉嫌犯罪行为予以打击，加强与市级行业主管部门的协作配合，及时排查交易场所涉嫌违法犯罪的情况，对相关部门移送和自身发现的交易场所涉嫌犯罪情况依法进行查处。</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lang w:eastAsia="zh-CN"/>
        </w:rPr>
        <w:t>（五）</w:t>
      </w:r>
      <w:r>
        <w:rPr>
          <w:rFonts w:hint="eastAsia" w:ascii="仿宋_GB2312" w:hAnsi="仿宋_GB2312" w:eastAsia="仿宋_GB2312" w:cs="仿宋_GB2312"/>
          <w:color w:val="555555"/>
          <w:sz w:val="32"/>
          <w:szCs w:val="32"/>
        </w:rPr>
        <w:t>市市场监督管理局依照交易场所监管制度的要求，做好交易场所设立、变更、注销等事项的登记工作</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加强对交易场所及其会员、代理商、授权服务机构等广告的监测和检查，依法查处违法广告</w:t>
      </w:r>
      <w:r>
        <w:rPr>
          <w:rFonts w:hint="eastAsia" w:ascii="仿宋_GB2312" w:hAnsi="仿宋_GB2312" w:eastAsia="仿宋_GB2312" w:cs="仿宋_GB2312"/>
          <w:color w:val="555555"/>
          <w:sz w:val="32"/>
          <w:szCs w:val="32"/>
          <w:lang w:eastAsia="zh-CN"/>
        </w:rPr>
        <w:t>；配合做好非法交易场所清理工作，加大对违反市场监管法律法规行为的执法力度。</w:t>
      </w:r>
    </w:p>
    <w:p>
      <w:pPr>
        <w:pStyle w:val="7"/>
        <w:numPr>
          <w:ilvl w:val="-1"/>
          <w:numId w:val="0"/>
        </w:numPr>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六）深圳证监局负责指导、督促、协助做好交易场所管理工作，及时提示交易场所问题和风险，督促进行清理整顿和分类处置，为市级行业主管部门提供政策和专业技术支持，及时承接有权部门的协作请求，依法开展交易场所非法证券期货交易活动的认定。</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七</w:t>
      </w:r>
      <w:r>
        <w:rPr>
          <w:rFonts w:hint="eastAsia" w:ascii="仿宋_GB2312" w:hAnsi="仿宋_GB2312" w:eastAsia="仿宋_GB2312" w:cs="仿宋_GB2312"/>
          <w:color w:val="555555"/>
          <w:sz w:val="32"/>
          <w:szCs w:val="32"/>
        </w:rPr>
        <w:t>）人民银行深圳市中心支行、深圳银保监局根据职责，督促辖内银行业金融机构、非银行支付机构严格执行国家部委及本市清理整顿各类交易场所的各项规定，加强交易场所类特约商户资质审核和风险监测，严禁为未经市政府批准的交易场所提供支付结算服务。根据有关部门对违法违规交易场所的正式认定文件和处置方案，通知并督导辖内银行业金融机构、非银行支付机构限期停止为违法违规交易场所提供金融服务。</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第四十</w:t>
      </w:r>
      <w:r>
        <w:rPr>
          <w:rFonts w:hint="eastAsia" w:ascii="仿宋_GB2312" w:hAnsi="仿宋_GB2312" w:eastAsia="仿宋_GB2312" w:cs="仿宋_GB2312"/>
          <w:b/>
          <w:bCs/>
          <w:color w:val="555555"/>
          <w:sz w:val="32"/>
          <w:szCs w:val="32"/>
          <w:lang w:eastAsia="zh-CN"/>
        </w:rPr>
        <w:t>二</w:t>
      </w:r>
      <w:r>
        <w:rPr>
          <w:rFonts w:hint="eastAsia" w:ascii="仿宋_GB2312" w:hAnsi="仿宋_GB2312" w:eastAsia="仿宋_GB2312" w:cs="仿宋_GB2312"/>
          <w:b/>
          <w:bCs/>
          <w:color w:val="555555"/>
          <w:sz w:val="32"/>
          <w:szCs w:val="32"/>
        </w:rPr>
        <w:t>条【各区职责】</w:t>
      </w:r>
      <w:r>
        <w:rPr>
          <w:rFonts w:hint="eastAsia" w:ascii="仿宋_GB2312" w:hAnsi="仿宋_GB2312" w:eastAsia="仿宋_GB2312" w:cs="仿宋_GB2312"/>
          <w:color w:val="555555"/>
          <w:sz w:val="32"/>
          <w:szCs w:val="32"/>
        </w:rPr>
        <w:t>各区政府落实属地管理职责，配合市级行业主管部门做好违法违规处理、风险处置等工作。</w:t>
      </w:r>
    </w:p>
    <w:p>
      <w:pPr>
        <w:pStyle w:val="7"/>
        <w:spacing w:before="0" w:beforeAutospacing="0" w:after="0" w:afterAutospacing="0" w:line="560" w:lineRule="exact"/>
        <w:ind w:firstLine="643"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第四十</w:t>
      </w:r>
      <w:r>
        <w:rPr>
          <w:rFonts w:hint="eastAsia" w:ascii="仿宋_GB2312" w:hAnsi="仿宋_GB2312" w:eastAsia="仿宋_GB2312" w:cs="仿宋_GB2312"/>
          <w:b/>
          <w:bCs/>
          <w:color w:val="555555"/>
          <w:sz w:val="32"/>
          <w:szCs w:val="32"/>
          <w:lang w:eastAsia="zh-CN"/>
        </w:rPr>
        <w:t>三</w:t>
      </w:r>
      <w:r>
        <w:rPr>
          <w:rFonts w:hint="eastAsia" w:ascii="仿宋_GB2312" w:hAnsi="仿宋_GB2312" w:eastAsia="仿宋_GB2312" w:cs="仿宋_GB2312"/>
          <w:b/>
          <w:bCs/>
          <w:color w:val="555555"/>
          <w:sz w:val="32"/>
          <w:szCs w:val="32"/>
        </w:rPr>
        <w:t>条【行业自律】</w:t>
      </w:r>
      <w:r>
        <w:rPr>
          <w:rFonts w:hint="eastAsia" w:ascii="仿宋_GB2312" w:hAnsi="仿宋_GB2312" w:eastAsia="仿宋_GB2312" w:cs="仿宋_GB2312"/>
          <w:color w:val="555555"/>
          <w:sz w:val="32"/>
          <w:szCs w:val="32"/>
        </w:rPr>
        <w:t>交易场所行业自律组织应当在规范制定、行业服务、信息沟通、风险提示、纠纷调解等方面充分发挥作用，保护交易各方合法权益，并接受市级行业主管部门和联席会议办公室的指导和监督。</w:t>
      </w:r>
      <w:r>
        <w:rPr>
          <w:rFonts w:hint="eastAsia" w:ascii="仿宋_GB2312" w:hAnsi="仿宋_GB2312" w:eastAsia="仿宋_GB2312" w:cs="仿宋_GB2312"/>
          <w:color w:val="555555"/>
          <w:sz w:val="32"/>
          <w:szCs w:val="32"/>
          <w:lang w:eastAsia="zh-CN"/>
        </w:rPr>
        <w:t>鼓励</w:t>
      </w:r>
      <w:r>
        <w:rPr>
          <w:rFonts w:hint="eastAsia" w:ascii="仿宋_GB2312" w:hAnsi="仿宋_GB2312" w:eastAsia="仿宋_GB2312" w:cs="仿宋_GB2312"/>
          <w:color w:val="555555"/>
          <w:sz w:val="32"/>
          <w:szCs w:val="32"/>
        </w:rPr>
        <w:t>依法设立的各类交易场所自愿加入行业自律组织，接受行业自律管理，遵守行业自律组织制定的监督、指导、惩戒等行业规范。</w:t>
      </w:r>
    </w:p>
    <w:p>
      <w:pPr>
        <w:pStyle w:val="7"/>
        <w:spacing w:before="0" w:beforeAutospacing="0" w:after="0" w:afterAutospacing="0" w:line="560" w:lineRule="exact"/>
        <w:ind w:firstLine="643"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第四十</w:t>
      </w:r>
      <w:r>
        <w:rPr>
          <w:rFonts w:hint="eastAsia" w:ascii="仿宋_GB2312" w:hAnsi="仿宋_GB2312" w:eastAsia="仿宋_GB2312" w:cs="仿宋_GB2312"/>
          <w:b/>
          <w:bCs/>
          <w:color w:val="555555"/>
          <w:sz w:val="32"/>
          <w:szCs w:val="32"/>
          <w:lang w:eastAsia="zh-CN"/>
        </w:rPr>
        <w:t>四</w:t>
      </w:r>
      <w:r>
        <w:rPr>
          <w:rFonts w:hint="eastAsia" w:ascii="仿宋_GB2312" w:hAnsi="仿宋_GB2312" w:eastAsia="仿宋_GB2312" w:cs="仿宋_GB2312"/>
          <w:b/>
          <w:bCs/>
          <w:color w:val="555555"/>
          <w:sz w:val="32"/>
          <w:szCs w:val="32"/>
        </w:rPr>
        <w:t>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b/>
          <w:bCs/>
          <w:color w:val="555555"/>
          <w:sz w:val="32"/>
          <w:szCs w:val="32"/>
        </w:rPr>
        <w:t>监督检查】</w:t>
      </w:r>
      <w:r>
        <w:rPr>
          <w:rFonts w:hint="eastAsia" w:ascii="仿宋_GB2312" w:hAnsi="仿宋_GB2312" w:eastAsia="仿宋_GB2312" w:cs="仿宋_GB2312"/>
          <w:color w:val="555555"/>
          <w:sz w:val="32"/>
          <w:szCs w:val="32"/>
        </w:rPr>
        <w:t>市级行业主管部门应当建立健全监督检查制度，定期开展交易场所年度检查并进行监管评价。</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市级行业主管部门在对交易场所的经营管理、业务活动、财务状况等实施现场检查时，可依法采取下列措施：</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（一）进入交易场所及其分支机构的办公场所或者营业场所进行现场检查；</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（二）</w:t>
      </w:r>
      <w:r>
        <w:rPr>
          <w:rFonts w:hint="eastAsia" w:ascii="仿宋_GB2312" w:hAnsi="仿宋_GB2312" w:eastAsia="仿宋_GB2312" w:cs="仿宋_GB2312"/>
          <w:color w:val="555555"/>
          <w:sz w:val="32"/>
          <w:szCs w:val="32"/>
          <w:lang w:eastAsia="zh-CN"/>
        </w:rPr>
        <w:t>问询</w:t>
      </w:r>
      <w:r>
        <w:rPr>
          <w:rFonts w:hint="eastAsia" w:ascii="仿宋_GB2312" w:hAnsi="仿宋_GB2312" w:eastAsia="仿宋_GB2312" w:cs="仿宋_GB2312"/>
          <w:color w:val="555555"/>
          <w:sz w:val="32"/>
          <w:szCs w:val="32"/>
        </w:rPr>
        <w:t>交易场所的法定代表人</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股东、实际控制人、董事、监事、高级管理人员及工作人员，</w:t>
      </w:r>
      <w:r>
        <w:rPr>
          <w:rFonts w:hint="eastAsia" w:ascii="仿宋_GB2312" w:hAnsi="仿宋_GB2312" w:eastAsia="仿宋_GB2312" w:cs="仿宋_GB2312"/>
          <w:color w:val="555555"/>
          <w:sz w:val="32"/>
          <w:szCs w:val="32"/>
          <w:lang w:eastAsia="zh-CN"/>
        </w:rPr>
        <w:t>并</w:t>
      </w:r>
      <w:r>
        <w:rPr>
          <w:rFonts w:hint="eastAsia" w:ascii="仿宋_GB2312" w:hAnsi="仿宋_GB2312" w:eastAsia="仿宋_GB2312" w:cs="仿宋_GB2312"/>
          <w:color w:val="555555"/>
          <w:sz w:val="32"/>
          <w:szCs w:val="32"/>
        </w:rPr>
        <w:t>要求其对有关事项做出书面说明；</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（三）聘请第三方中介服务机构进行专项审计、评估或者出具专业意见。</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（四）查阅、复制与检查事项有关的文件、资料，对可能被转移、隐匿或者毁损的文件、资料、电子设备等先行登记保存。</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（五）检查交易场所的交易、结算、登记等信息管理系统，复制有关数据资料。</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(六) 法律、法规规定的其他措施。</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交易场所、相关单位及个人应当配合市级行业主管部门依法实施监管，不得拒绝、阻碍和隐瞒。</w:t>
      </w:r>
    </w:p>
    <w:p>
      <w:pPr>
        <w:pStyle w:val="7"/>
        <w:spacing w:before="0" w:beforeAutospacing="0" w:after="0" w:afterAutospacing="0" w:line="560" w:lineRule="exact"/>
        <w:ind w:firstLine="643"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第四十</w:t>
      </w:r>
      <w:r>
        <w:rPr>
          <w:rFonts w:hint="eastAsia" w:ascii="仿宋_GB2312" w:hAnsi="仿宋_GB2312" w:eastAsia="仿宋_GB2312" w:cs="仿宋_GB2312"/>
          <w:b/>
          <w:bCs/>
          <w:color w:val="555555"/>
          <w:sz w:val="32"/>
          <w:szCs w:val="32"/>
          <w:lang w:eastAsia="zh-CN"/>
        </w:rPr>
        <w:t>五</w:t>
      </w:r>
      <w:r>
        <w:rPr>
          <w:rFonts w:hint="eastAsia" w:ascii="仿宋_GB2312" w:hAnsi="仿宋_GB2312" w:eastAsia="仿宋_GB2312" w:cs="仿宋_GB2312"/>
          <w:b/>
          <w:bCs/>
          <w:color w:val="555555"/>
          <w:sz w:val="32"/>
          <w:szCs w:val="32"/>
        </w:rPr>
        <w:t>条【监管协调】</w:t>
      </w:r>
      <w:r>
        <w:rPr>
          <w:rFonts w:hint="eastAsia" w:ascii="仿宋_GB2312" w:hAnsi="仿宋_GB2312" w:eastAsia="仿宋_GB2312" w:cs="仿宋_GB2312"/>
          <w:color w:val="555555"/>
          <w:sz w:val="32"/>
          <w:szCs w:val="32"/>
        </w:rPr>
        <w:t>市级行业主管部门应当建立交易场所监管协调和信息共享机制，交易场所年度现场检查报告、专项检查报告等应及时向联席会议办公室报备；对重大风险，按照应急管理相关要求，及时、准确、全面向联席会议及市政府报告情况。</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第四十</w:t>
      </w:r>
      <w:r>
        <w:rPr>
          <w:rFonts w:hint="eastAsia" w:ascii="仿宋_GB2312" w:hAnsi="仿宋_GB2312" w:eastAsia="仿宋_GB2312" w:cs="仿宋_GB2312"/>
          <w:b/>
          <w:bCs/>
          <w:color w:val="555555"/>
          <w:sz w:val="32"/>
          <w:szCs w:val="32"/>
          <w:lang w:eastAsia="zh-CN"/>
        </w:rPr>
        <w:t>六</w:t>
      </w:r>
      <w:r>
        <w:rPr>
          <w:rFonts w:hint="eastAsia" w:ascii="仿宋_GB2312" w:hAnsi="仿宋_GB2312" w:eastAsia="仿宋_GB2312" w:cs="仿宋_GB2312"/>
          <w:b/>
          <w:bCs/>
          <w:color w:val="555555"/>
          <w:sz w:val="32"/>
          <w:szCs w:val="32"/>
        </w:rPr>
        <w:t>条</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b/>
          <w:bCs/>
          <w:color w:val="555555"/>
          <w:sz w:val="32"/>
          <w:szCs w:val="32"/>
        </w:rPr>
        <w:t>社会监督】</w:t>
      </w:r>
      <w:r>
        <w:rPr>
          <w:rFonts w:hint="eastAsia" w:ascii="仿宋_GB2312" w:hAnsi="仿宋_GB2312" w:eastAsia="仿宋_GB2312" w:cs="仿宋_GB2312"/>
          <w:color w:val="555555"/>
          <w:sz w:val="32"/>
          <w:szCs w:val="32"/>
        </w:rPr>
        <w:t>市级行业主管部门应建立和完善社会监督机制，加强对交易场所经营行为的约束、监督，畅通投诉举报渠道。</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第四十</w:t>
      </w:r>
      <w:r>
        <w:rPr>
          <w:rFonts w:hint="eastAsia" w:ascii="仿宋_GB2312" w:hAnsi="仿宋_GB2312" w:eastAsia="仿宋_GB2312" w:cs="仿宋_GB2312"/>
          <w:b/>
          <w:bCs/>
          <w:color w:val="555555"/>
          <w:sz w:val="32"/>
          <w:szCs w:val="32"/>
          <w:lang w:eastAsia="zh-CN"/>
        </w:rPr>
        <w:t>七</w:t>
      </w:r>
      <w:r>
        <w:rPr>
          <w:rFonts w:hint="eastAsia" w:ascii="仿宋_GB2312" w:hAnsi="仿宋_GB2312" w:eastAsia="仿宋_GB2312" w:cs="仿宋_GB2312"/>
          <w:b/>
          <w:bCs/>
          <w:color w:val="555555"/>
          <w:sz w:val="32"/>
          <w:szCs w:val="32"/>
        </w:rPr>
        <w:t>条【风险处置</w:t>
      </w:r>
      <w:r>
        <w:rPr>
          <w:rFonts w:hint="eastAsia" w:ascii="仿宋_GB2312" w:hAnsi="仿宋_GB2312" w:eastAsia="仿宋_GB2312" w:cs="仿宋_GB2312"/>
          <w:color w:val="555555"/>
          <w:sz w:val="32"/>
          <w:szCs w:val="32"/>
        </w:rPr>
        <w:t>】市级行业主管部门和交易场所注册地区政府应当按照行业和属地管理的原则，制定并完善交易场所风险处置预案和突发事件应急预案，履行风险处置职责。</w:t>
      </w:r>
    </w:p>
    <w:p>
      <w:pPr>
        <w:pStyle w:val="7"/>
        <w:spacing w:before="0" w:beforeAutospacing="0" w:after="0" w:afterAutospacing="0" w:line="560" w:lineRule="exact"/>
        <w:ind w:firstLine="643" w:firstLineChars="200"/>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第四十</w:t>
      </w:r>
      <w:r>
        <w:rPr>
          <w:rFonts w:hint="eastAsia" w:ascii="仿宋_GB2312" w:hAnsi="仿宋_GB2312" w:eastAsia="仿宋_GB2312" w:cs="仿宋_GB2312"/>
          <w:b/>
          <w:bCs/>
          <w:color w:val="555555"/>
          <w:sz w:val="32"/>
          <w:szCs w:val="32"/>
          <w:lang w:eastAsia="zh-CN"/>
        </w:rPr>
        <w:t>八</w:t>
      </w:r>
      <w:r>
        <w:rPr>
          <w:rFonts w:hint="eastAsia" w:ascii="仿宋_GB2312" w:hAnsi="仿宋_GB2312" w:eastAsia="仿宋_GB2312" w:cs="仿宋_GB2312"/>
          <w:b/>
          <w:bCs/>
          <w:color w:val="555555"/>
          <w:sz w:val="32"/>
          <w:szCs w:val="32"/>
        </w:rPr>
        <w:t>条【</w:t>
      </w:r>
      <w:r>
        <w:rPr>
          <w:rFonts w:hint="eastAsia" w:ascii="仿宋_GB2312" w:hAnsi="仿宋_GB2312" w:eastAsia="仿宋_GB2312" w:cs="仿宋_GB2312"/>
          <w:b/>
          <w:bCs/>
          <w:color w:val="555555"/>
          <w:sz w:val="32"/>
          <w:szCs w:val="32"/>
          <w:lang w:eastAsia="zh-CN"/>
        </w:rPr>
        <w:t>监管措施</w:t>
      </w:r>
      <w:r>
        <w:rPr>
          <w:rFonts w:hint="eastAsia" w:ascii="仿宋_GB2312" w:hAnsi="仿宋_GB2312" w:eastAsia="仿宋_GB2312" w:cs="仿宋_GB2312"/>
          <w:b/>
          <w:bCs/>
          <w:color w:val="555555"/>
          <w:sz w:val="32"/>
          <w:szCs w:val="32"/>
        </w:rPr>
        <w:t>】</w:t>
      </w:r>
      <w:r>
        <w:rPr>
          <w:rFonts w:hint="eastAsia" w:ascii="仿宋_GB2312" w:hAnsi="仿宋_GB2312" w:eastAsia="仿宋_GB2312" w:cs="仿宋_GB2312"/>
          <w:color w:val="555555"/>
          <w:sz w:val="32"/>
          <w:szCs w:val="32"/>
        </w:rPr>
        <w:t>交易场所在经营过程中存在违反法律法规行为的，相关部门将依法给予行政处罚</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涉嫌非法集资</w:t>
      </w:r>
      <w:r>
        <w:rPr>
          <w:rFonts w:hint="eastAsia" w:ascii="仿宋_GB2312" w:hAnsi="仿宋_GB2312" w:eastAsia="仿宋_GB2312" w:cs="仿宋_GB2312"/>
          <w:color w:val="555555"/>
          <w:sz w:val="32"/>
          <w:szCs w:val="32"/>
          <w:lang w:eastAsia="zh-CN"/>
        </w:rPr>
        <w:t>或其他</w:t>
      </w:r>
      <w:r>
        <w:rPr>
          <w:rFonts w:hint="eastAsia" w:ascii="仿宋_GB2312" w:hAnsi="仿宋_GB2312" w:eastAsia="仿宋_GB2312" w:cs="仿宋_GB2312"/>
          <w:color w:val="555555"/>
          <w:sz w:val="32"/>
          <w:szCs w:val="32"/>
        </w:rPr>
        <w:t>犯罪</w:t>
      </w:r>
      <w:r>
        <w:rPr>
          <w:rFonts w:hint="eastAsia" w:ascii="仿宋_GB2312" w:hAnsi="仿宋_GB2312" w:eastAsia="仿宋_GB2312" w:cs="仿宋_GB2312"/>
          <w:color w:val="555555"/>
          <w:sz w:val="32"/>
          <w:szCs w:val="32"/>
          <w:lang w:eastAsia="zh-CN"/>
        </w:rPr>
        <w:t>行为</w:t>
      </w:r>
      <w:r>
        <w:rPr>
          <w:rFonts w:hint="eastAsia" w:ascii="仿宋_GB2312" w:hAnsi="仿宋_GB2312" w:eastAsia="仿宋_GB2312" w:cs="仿宋_GB2312"/>
          <w:color w:val="555555"/>
          <w:sz w:val="32"/>
          <w:szCs w:val="32"/>
        </w:rPr>
        <w:t>的，按照我市</w:t>
      </w:r>
      <w:r>
        <w:rPr>
          <w:rFonts w:hint="eastAsia" w:ascii="仿宋_GB2312" w:hAnsi="仿宋_GB2312" w:eastAsia="仿宋_GB2312" w:cs="仿宋_GB2312"/>
          <w:color w:val="555555"/>
          <w:sz w:val="32"/>
          <w:szCs w:val="32"/>
          <w:lang w:eastAsia="zh-CN"/>
        </w:rPr>
        <w:t>防范和</w:t>
      </w:r>
      <w:r>
        <w:rPr>
          <w:rFonts w:hint="eastAsia" w:ascii="仿宋_GB2312" w:hAnsi="仿宋_GB2312" w:eastAsia="仿宋_GB2312" w:cs="仿宋_GB2312"/>
          <w:color w:val="555555"/>
          <w:sz w:val="32"/>
          <w:szCs w:val="32"/>
        </w:rPr>
        <w:t>处置非法集资工作机制移交相关牵头部门或司法机关</w:t>
      </w:r>
      <w:r>
        <w:rPr>
          <w:rFonts w:hint="eastAsia" w:ascii="仿宋_GB2312" w:hAnsi="仿宋_GB2312" w:eastAsia="仿宋_GB2312" w:cs="仿宋_GB2312"/>
          <w:color w:val="555555"/>
          <w:sz w:val="32"/>
          <w:szCs w:val="32"/>
          <w:lang w:eastAsia="zh-CN"/>
        </w:rPr>
        <w:t>处置。</w:t>
      </w:r>
    </w:p>
    <w:p>
      <w:pPr>
        <w:pStyle w:val="7"/>
        <w:spacing w:before="0" w:beforeAutospacing="0" w:after="0" w:afterAutospacing="0" w:line="560" w:lineRule="exact"/>
        <w:ind w:firstLine="640" w:firstLineChars="200"/>
        <w:rPr>
          <w:rFonts w:hint="eastAsia" w:ascii="仿宋_GB2312" w:hAnsi="仿宋_GB2312" w:eastAsia="仿宋_GB2312" w:cs="仿宋_GB2312"/>
          <w:color w:val="555555"/>
          <w:sz w:val="32"/>
          <w:szCs w:val="32"/>
          <w:lang w:eastAsia="zh-CN"/>
        </w:rPr>
      </w:pPr>
      <w:r>
        <w:rPr>
          <w:rFonts w:hint="eastAsia" w:ascii="仿宋_GB2312" w:hAnsi="仿宋_GB2312" w:eastAsia="仿宋_GB2312" w:cs="仿宋_GB2312"/>
          <w:color w:val="555555"/>
          <w:sz w:val="32"/>
          <w:szCs w:val="32"/>
        </w:rPr>
        <w:t>交易场所</w:t>
      </w:r>
      <w:r>
        <w:rPr>
          <w:rFonts w:hint="eastAsia" w:ascii="仿宋_GB2312" w:hAnsi="仿宋_GB2312" w:eastAsia="仿宋_GB2312" w:cs="仿宋_GB2312"/>
          <w:color w:val="555555"/>
          <w:sz w:val="32"/>
          <w:szCs w:val="32"/>
          <w:lang w:eastAsia="zh-CN"/>
        </w:rPr>
        <w:t>违反本办法规定的，</w:t>
      </w:r>
      <w:r>
        <w:rPr>
          <w:rFonts w:hint="eastAsia" w:ascii="仿宋_GB2312" w:hAnsi="仿宋_GB2312" w:eastAsia="仿宋_GB2312" w:cs="仿宋_GB2312"/>
          <w:color w:val="555555"/>
          <w:sz w:val="32"/>
          <w:szCs w:val="32"/>
        </w:rPr>
        <w:t>监管部门可采取</w:t>
      </w:r>
      <w:r>
        <w:rPr>
          <w:rFonts w:hint="eastAsia" w:ascii="仿宋_GB2312" w:hAnsi="仿宋_GB2312" w:eastAsia="仿宋_GB2312" w:cs="仿宋_GB2312"/>
          <w:color w:val="555555"/>
          <w:sz w:val="32"/>
          <w:szCs w:val="32"/>
          <w:lang w:eastAsia="zh-CN"/>
        </w:rPr>
        <w:t>问询</w:t>
      </w:r>
      <w:r>
        <w:rPr>
          <w:rFonts w:hint="eastAsia" w:ascii="仿宋_GB2312" w:hAnsi="仿宋_GB2312" w:eastAsia="仿宋_GB2312" w:cs="仿宋_GB2312"/>
          <w:color w:val="555555"/>
          <w:sz w:val="32"/>
          <w:szCs w:val="32"/>
        </w:rPr>
        <w:t>、风险提示、公示、取消违规交易品种和业务模式、</w:t>
      </w:r>
      <w:r>
        <w:rPr>
          <w:rFonts w:hint="eastAsia" w:ascii="仿宋_GB2312" w:hAnsi="仿宋_GB2312" w:eastAsia="仿宋_GB2312" w:cs="仿宋_GB2312"/>
          <w:color w:val="555555"/>
          <w:sz w:val="32"/>
          <w:szCs w:val="32"/>
          <w:lang w:eastAsia="zh-CN"/>
        </w:rPr>
        <w:t>督促交易场所</w:t>
      </w:r>
      <w:r>
        <w:rPr>
          <w:rFonts w:hint="eastAsia" w:ascii="仿宋_GB2312" w:hAnsi="仿宋_GB2312" w:eastAsia="仿宋_GB2312" w:cs="仿宋_GB2312"/>
          <w:color w:val="555555"/>
          <w:sz w:val="32"/>
          <w:szCs w:val="32"/>
        </w:rPr>
        <w:t>暂停发展新投资者、</w:t>
      </w:r>
      <w:r>
        <w:rPr>
          <w:rFonts w:hint="eastAsia" w:ascii="仿宋_GB2312" w:hAnsi="仿宋_GB2312" w:eastAsia="仿宋_GB2312" w:cs="仿宋_GB2312"/>
          <w:color w:val="555555"/>
          <w:sz w:val="32"/>
          <w:szCs w:val="32"/>
          <w:lang w:eastAsia="zh-CN"/>
        </w:rPr>
        <w:t>督促交易场所暂缓</w:t>
      </w:r>
      <w:r>
        <w:rPr>
          <w:rFonts w:hint="eastAsia" w:ascii="仿宋_GB2312" w:hAnsi="仿宋_GB2312" w:eastAsia="仿宋_GB2312" w:cs="仿宋_GB2312"/>
          <w:color w:val="555555"/>
          <w:sz w:val="32"/>
          <w:szCs w:val="32"/>
        </w:rPr>
        <w:t>新设交易品种，督促交易场所取消违规的会员、代理商、授权服务机构资格和停止相关合作等方式依法进行处置，督促整改；情节严重的，可协调相关部门停止其支付结算、依法关闭网站及相关应用程序</w:t>
      </w:r>
      <w:r>
        <w:rPr>
          <w:rFonts w:hint="eastAsia" w:ascii="仿宋_GB2312" w:hAnsi="仿宋_GB2312" w:eastAsia="仿宋_GB2312" w:cs="仿宋_GB2312"/>
          <w:color w:val="555555"/>
          <w:sz w:val="32"/>
          <w:szCs w:val="32"/>
          <w:lang w:eastAsia="zh-CN"/>
        </w:rPr>
        <w:t>，</w:t>
      </w:r>
      <w:r>
        <w:rPr>
          <w:rFonts w:hint="eastAsia" w:ascii="仿宋_GB2312" w:hAnsi="仿宋_GB2312" w:eastAsia="仿宋_GB2312" w:cs="仿宋_GB2312"/>
          <w:color w:val="555555"/>
          <w:sz w:val="32"/>
          <w:szCs w:val="32"/>
        </w:rPr>
        <w:t>或报请</w:t>
      </w:r>
      <w:r>
        <w:rPr>
          <w:rFonts w:hint="eastAsia" w:ascii="仿宋_GB2312" w:hAnsi="仿宋_GB2312" w:eastAsia="仿宋_GB2312" w:cs="仿宋_GB2312"/>
          <w:color w:val="555555"/>
          <w:sz w:val="32"/>
          <w:szCs w:val="32"/>
          <w:lang w:eastAsia="zh-CN"/>
        </w:rPr>
        <w:t>联席会议</w:t>
      </w:r>
      <w:r>
        <w:rPr>
          <w:rFonts w:hint="eastAsia" w:ascii="仿宋_GB2312" w:hAnsi="仿宋_GB2312" w:eastAsia="仿宋_GB2312" w:cs="仿宋_GB2312"/>
          <w:color w:val="555555"/>
          <w:sz w:val="32"/>
          <w:szCs w:val="32"/>
        </w:rPr>
        <w:t>取消其交易场所资格。</w:t>
      </w:r>
      <w:r>
        <w:rPr>
          <w:rFonts w:hint="eastAsia" w:ascii="仿宋_GB2312" w:hAnsi="仿宋_GB2312" w:eastAsia="仿宋_GB2312" w:cs="仿宋_GB2312"/>
          <w:color w:val="555555"/>
          <w:sz w:val="32"/>
          <w:szCs w:val="32"/>
          <w:lang w:eastAsia="zh-CN"/>
        </w:rPr>
        <w:t>法律、行政法规或国务院另有规定的，依照其规定处理。</w:t>
      </w:r>
    </w:p>
    <w:p>
      <w:pPr>
        <w:pStyle w:val="7"/>
        <w:spacing w:before="0" w:beforeAutospacing="0" w:after="0" w:afterAutospacing="0" w:line="560" w:lineRule="exact"/>
        <w:ind w:firstLine="640" w:firstLineChars="200"/>
        <w:rPr>
          <w:rFonts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对交易场所</w:t>
      </w:r>
      <w:r>
        <w:rPr>
          <w:rFonts w:hint="eastAsia" w:ascii="仿宋_GB2312" w:hAnsi="仿宋_GB2312" w:eastAsia="仿宋_GB2312" w:cs="仿宋_GB2312"/>
          <w:color w:val="555555"/>
          <w:sz w:val="32"/>
          <w:szCs w:val="32"/>
          <w:lang w:eastAsia="zh-CN"/>
        </w:rPr>
        <w:t>违规</w:t>
      </w:r>
      <w:r>
        <w:rPr>
          <w:rFonts w:hint="eastAsia" w:ascii="仿宋_GB2312" w:hAnsi="仿宋_GB2312" w:eastAsia="仿宋_GB2312" w:cs="仿宋_GB2312"/>
          <w:color w:val="555555"/>
          <w:sz w:val="32"/>
          <w:szCs w:val="32"/>
        </w:rPr>
        <w:t>负有责任</w:t>
      </w:r>
      <w:r>
        <w:rPr>
          <w:rFonts w:hint="eastAsia" w:ascii="仿宋_GB2312" w:hAnsi="仿宋_GB2312" w:eastAsia="仿宋_GB2312" w:cs="仿宋_GB2312"/>
          <w:color w:val="555555"/>
          <w:sz w:val="32"/>
          <w:szCs w:val="32"/>
          <w:lang w:eastAsia="zh-CN"/>
        </w:rPr>
        <w:t>的</w:t>
      </w:r>
      <w:r>
        <w:rPr>
          <w:rFonts w:hint="eastAsia" w:ascii="仿宋_GB2312" w:hAnsi="仿宋_GB2312" w:eastAsia="仿宋_GB2312" w:cs="仿宋_GB2312"/>
          <w:color w:val="555555"/>
          <w:sz w:val="32"/>
          <w:szCs w:val="32"/>
        </w:rPr>
        <w:t>法定代表人、董事、监事、高级管理人员，市级行业主管部门可以依法采取</w:t>
      </w:r>
      <w:r>
        <w:rPr>
          <w:rFonts w:hint="eastAsia" w:ascii="仿宋_GB2312" w:hAnsi="仿宋_GB2312" w:eastAsia="仿宋_GB2312" w:cs="仿宋_GB2312"/>
          <w:color w:val="555555"/>
          <w:sz w:val="32"/>
          <w:szCs w:val="32"/>
          <w:lang w:eastAsia="zh-CN"/>
        </w:rPr>
        <w:t>问询</w:t>
      </w:r>
      <w:r>
        <w:rPr>
          <w:rFonts w:hint="eastAsia" w:ascii="仿宋_GB2312" w:hAnsi="仿宋_GB2312" w:eastAsia="仿宋_GB2312" w:cs="仿宋_GB2312"/>
          <w:color w:val="555555"/>
          <w:sz w:val="32"/>
          <w:szCs w:val="32"/>
        </w:rPr>
        <w:t>、</w:t>
      </w:r>
      <w:r>
        <w:rPr>
          <w:rFonts w:hint="eastAsia" w:ascii="仿宋_GB2312" w:hAnsi="仿宋_GB2312" w:eastAsia="仿宋_GB2312" w:cs="仿宋_GB2312"/>
          <w:color w:val="555555"/>
          <w:sz w:val="32"/>
          <w:szCs w:val="32"/>
          <w:lang w:eastAsia="zh-CN"/>
        </w:rPr>
        <w:t>建议</w:t>
      </w:r>
      <w:r>
        <w:rPr>
          <w:rFonts w:hint="eastAsia" w:ascii="仿宋_GB2312" w:hAnsi="仿宋_GB2312" w:eastAsia="仿宋_GB2312" w:cs="仿宋_GB2312"/>
          <w:color w:val="555555"/>
          <w:sz w:val="32"/>
          <w:szCs w:val="32"/>
        </w:rPr>
        <w:t>认定为不适当人选等监管措施。</w:t>
      </w:r>
    </w:p>
    <w:p>
      <w:pPr>
        <w:pStyle w:val="7"/>
        <w:spacing w:before="0" w:beforeAutospacing="0" w:after="0" w:afterAutospacing="0" w:line="560" w:lineRule="exact"/>
        <w:ind w:firstLine="643" w:firstLineChars="200"/>
        <w:jc w:val="both"/>
        <w:rPr>
          <w:rFonts w:hint="eastAsia" w:ascii="仿宋_GB2312" w:hAnsi="仿宋_GB2312" w:eastAsia="仿宋_GB2312" w:cs="仿宋_GB2312"/>
          <w:color w:val="555555"/>
          <w:sz w:val="32"/>
          <w:szCs w:val="32"/>
          <w:highlight w:val="none"/>
        </w:rPr>
      </w:pPr>
      <w:r>
        <w:rPr>
          <w:rFonts w:hint="eastAsia" w:ascii="仿宋_GB2312" w:hAnsi="仿宋_GB2312" w:eastAsia="仿宋_GB2312" w:cs="仿宋_GB2312"/>
          <w:b/>
          <w:bCs/>
          <w:color w:val="555555"/>
          <w:sz w:val="32"/>
          <w:szCs w:val="32"/>
          <w:highlight w:val="none"/>
        </w:rPr>
        <w:t>第</w:t>
      </w:r>
      <w:r>
        <w:rPr>
          <w:rFonts w:hint="eastAsia" w:ascii="仿宋_GB2312" w:hAnsi="仿宋_GB2312" w:eastAsia="仿宋_GB2312" w:cs="仿宋_GB2312"/>
          <w:b/>
          <w:bCs/>
          <w:color w:val="555555"/>
          <w:sz w:val="32"/>
          <w:szCs w:val="32"/>
          <w:highlight w:val="none"/>
          <w:lang w:eastAsia="zh-CN"/>
        </w:rPr>
        <w:t>四十九</w:t>
      </w:r>
      <w:r>
        <w:rPr>
          <w:rFonts w:hint="eastAsia" w:ascii="仿宋_GB2312" w:hAnsi="仿宋_GB2312" w:eastAsia="仿宋_GB2312" w:cs="仿宋_GB2312"/>
          <w:b/>
          <w:bCs/>
          <w:color w:val="555555"/>
          <w:sz w:val="32"/>
          <w:szCs w:val="32"/>
          <w:highlight w:val="none"/>
        </w:rPr>
        <w:t>条</w:t>
      </w:r>
      <w:r>
        <w:rPr>
          <w:rFonts w:hint="eastAsia" w:ascii="仿宋_GB2312" w:hAnsi="仿宋_GB2312" w:eastAsia="仿宋_GB2312" w:cs="仿宋_GB2312"/>
          <w:color w:val="555555"/>
          <w:sz w:val="32"/>
          <w:szCs w:val="32"/>
          <w:highlight w:val="none"/>
        </w:rPr>
        <w:t>【</w:t>
      </w:r>
      <w:r>
        <w:rPr>
          <w:rFonts w:hint="eastAsia" w:ascii="仿宋_GB2312" w:hAnsi="仿宋_GB2312" w:eastAsia="仿宋_GB2312" w:cs="仿宋_GB2312"/>
          <w:b/>
          <w:bCs/>
          <w:color w:val="555555"/>
          <w:sz w:val="32"/>
          <w:szCs w:val="32"/>
          <w:highlight w:val="none"/>
        </w:rPr>
        <w:t>打击非法场所】</w:t>
      </w:r>
      <w:r>
        <w:rPr>
          <w:rFonts w:hint="eastAsia" w:ascii="仿宋_GB2312" w:hAnsi="仿宋_GB2312" w:eastAsia="仿宋_GB2312" w:cs="仿宋_GB2312"/>
          <w:color w:val="555555"/>
          <w:sz w:val="32"/>
          <w:szCs w:val="32"/>
          <w:highlight w:val="none"/>
        </w:rPr>
        <w:t>未经批准，擅自设立交易场所及其分支机构或从事交易场所业务的，</w:t>
      </w:r>
      <w:r>
        <w:rPr>
          <w:rFonts w:hint="eastAsia" w:ascii="仿宋_GB2312" w:hAnsi="仿宋_GB2312" w:eastAsia="仿宋_GB2312" w:cs="仿宋_GB2312"/>
          <w:i w:val="0"/>
          <w:caps w:val="0"/>
          <w:color w:val="424242"/>
          <w:spacing w:val="0"/>
          <w:sz w:val="32"/>
          <w:szCs w:val="32"/>
          <w:highlight w:val="none"/>
          <w:shd w:val="clear" w:fill="auto"/>
        </w:rPr>
        <w:t>由相应监管部门会同有关部门依法予以查处；涉嫌犯罪的，移交司法机关处置。</w:t>
      </w:r>
    </w:p>
    <w:p>
      <w:pPr>
        <w:pStyle w:val="7"/>
        <w:spacing w:before="0" w:beforeAutospacing="0" w:after="0" w:afterAutospacing="0" w:line="560" w:lineRule="exact"/>
        <w:ind w:firstLine="640" w:firstLineChars="200"/>
        <w:jc w:val="both"/>
        <w:rPr>
          <w:rFonts w:ascii="仿宋_GB2312" w:hAnsi="仿宋_GB2312" w:eastAsia="仿宋_GB2312" w:cs="仿宋_GB2312"/>
          <w:color w:val="555555"/>
          <w:sz w:val="32"/>
          <w:szCs w:val="32"/>
        </w:rPr>
      </w:pPr>
    </w:p>
    <w:p>
      <w:pPr>
        <w:pStyle w:val="7"/>
        <w:numPr>
          <w:ilvl w:val="255"/>
          <w:numId w:val="0"/>
        </w:numPr>
        <w:spacing w:before="0" w:beforeAutospacing="0" w:after="0" w:afterAutospacing="0" w:line="560" w:lineRule="exact"/>
        <w:jc w:val="center"/>
        <w:rPr>
          <w:rFonts w:ascii="仿宋_GB2312" w:hAnsi="仿宋_GB2312" w:eastAsia="仿宋_GB2312" w:cs="仿宋_GB2312"/>
          <w:b/>
          <w:bCs/>
          <w:color w:val="555555"/>
          <w:sz w:val="32"/>
          <w:szCs w:val="32"/>
        </w:rPr>
      </w:pPr>
      <w:r>
        <w:rPr>
          <w:rFonts w:hint="eastAsia" w:ascii="仿宋_GB2312" w:hAnsi="仿宋_GB2312" w:eastAsia="仿宋_GB2312" w:cs="仿宋_GB2312"/>
          <w:b/>
          <w:bCs/>
          <w:color w:val="555555"/>
          <w:sz w:val="32"/>
          <w:szCs w:val="32"/>
        </w:rPr>
        <w:t>第五章 附则</w:t>
      </w:r>
    </w:p>
    <w:p>
      <w:pPr>
        <w:pStyle w:val="7"/>
        <w:spacing w:before="0" w:beforeAutospacing="0" w:after="0" w:afterAutospacing="0" w:line="560" w:lineRule="exact"/>
        <w:ind w:firstLine="643" w:firstLineChars="200"/>
        <w:rPr>
          <w:rFonts w:ascii="仿宋_GB2312" w:hAnsi="仿宋_GB2312" w:eastAsia="仿宋_GB2312" w:cs="仿宋_GB2312"/>
          <w:b/>
          <w:bCs/>
          <w:color w:val="555555"/>
          <w:sz w:val="32"/>
          <w:szCs w:val="32"/>
        </w:rPr>
      </w:pP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w:t>
      </w:r>
      <w:r>
        <w:rPr>
          <w:rFonts w:hint="eastAsia" w:ascii="仿宋_GB2312" w:hAnsi="仿宋_GB2312" w:eastAsia="仿宋_GB2312" w:cs="仿宋_GB2312"/>
          <w:b/>
          <w:bCs/>
          <w:color w:val="555555"/>
          <w:sz w:val="32"/>
          <w:szCs w:val="32"/>
          <w:lang w:eastAsia="zh-CN"/>
        </w:rPr>
        <w:t>五十</w:t>
      </w:r>
      <w:r>
        <w:rPr>
          <w:rFonts w:hint="eastAsia" w:ascii="仿宋_GB2312" w:hAnsi="仿宋_GB2312" w:eastAsia="仿宋_GB2312" w:cs="仿宋_GB2312"/>
          <w:b/>
          <w:bCs/>
          <w:color w:val="555555"/>
          <w:sz w:val="32"/>
          <w:szCs w:val="32"/>
        </w:rPr>
        <w:t>条【过渡期】</w:t>
      </w:r>
      <w:r>
        <w:rPr>
          <w:rFonts w:hint="eastAsia" w:ascii="仿宋_GB2312" w:hAnsi="仿宋_GB2312" w:eastAsia="仿宋_GB2312" w:cs="仿宋_GB2312"/>
          <w:color w:val="555555"/>
          <w:sz w:val="32"/>
          <w:szCs w:val="32"/>
        </w:rPr>
        <w:t>本办法施行前已经设立的交易场所应当在两年内按照本办法相关要求进行规范。</w:t>
      </w:r>
    </w:p>
    <w:p>
      <w:pPr>
        <w:pStyle w:val="7"/>
        <w:spacing w:before="0" w:beforeAutospacing="0" w:after="0" w:afterAutospacing="0" w:line="560" w:lineRule="exact"/>
        <w:ind w:firstLine="643"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第五十</w:t>
      </w:r>
      <w:r>
        <w:rPr>
          <w:rFonts w:hint="eastAsia" w:ascii="仿宋_GB2312" w:hAnsi="仿宋_GB2312" w:eastAsia="仿宋_GB2312" w:cs="仿宋_GB2312"/>
          <w:b/>
          <w:bCs/>
          <w:color w:val="555555"/>
          <w:sz w:val="32"/>
          <w:szCs w:val="32"/>
          <w:lang w:eastAsia="zh-CN"/>
        </w:rPr>
        <w:t>一</w:t>
      </w:r>
      <w:r>
        <w:rPr>
          <w:rFonts w:hint="eastAsia" w:ascii="仿宋_GB2312" w:hAnsi="仿宋_GB2312" w:eastAsia="仿宋_GB2312" w:cs="仿宋_GB2312"/>
          <w:b/>
          <w:bCs/>
          <w:color w:val="555555"/>
          <w:sz w:val="32"/>
          <w:szCs w:val="32"/>
        </w:rPr>
        <w:t>条【</w:t>
      </w:r>
      <w:r>
        <w:rPr>
          <w:rFonts w:hint="eastAsia" w:ascii="仿宋_GB2312" w:hAnsi="仿宋_GB2312" w:eastAsia="仿宋_GB2312" w:cs="仿宋_GB2312"/>
          <w:b/>
          <w:bCs/>
          <w:color w:val="555555"/>
          <w:sz w:val="32"/>
          <w:szCs w:val="32"/>
          <w:lang w:eastAsia="zh-CN"/>
        </w:rPr>
        <w:t>指引</w:t>
      </w:r>
      <w:r>
        <w:rPr>
          <w:rFonts w:hint="eastAsia" w:ascii="仿宋_GB2312" w:hAnsi="仿宋_GB2312" w:eastAsia="仿宋_GB2312" w:cs="仿宋_GB2312"/>
          <w:b/>
          <w:bCs/>
          <w:color w:val="555555"/>
          <w:sz w:val="32"/>
          <w:szCs w:val="32"/>
        </w:rPr>
        <w:t>制定】</w:t>
      </w:r>
      <w:r>
        <w:rPr>
          <w:rFonts w:hint="eastAsia" w:ascii="仿宋_GB2312" w:hAnsi="仿宋_GB2312" w:eastAsia="仿宋_GB2312" w:cs="仿宋_GB2312"/>
          <w:color w:val="555555"/>
          <w:sz w:val="32"/>
          <w:szCs w:val="32"/>
        </w:rPr>
        <w:t>联席会议办公室和市级行业主管部门可以依据本办法，根据职责制定交易场所管理相关的操作流程和</w:t>
      </w:r>
      <w:r>
        <w:rPr>
          <w:rFonts w:hint="eastAsia" w:ascii="仿宋_GB2312" w:hAnsi="仿宋_GB2312" w:eastAsia="仿宋_GB2312" w:cs="仿宋_GB2312"/>
          <w:color w:val="555555"/>
          <w:sz w:val="32"/>
          <w:szCs w:val="32"/>
          <w:lang w:eastAsia="zh-CN"/>
        </w:rPr>
        <w:t>指引</w:t>
      </w:r>
      <w:r>
        <w:rPr>
          <w:rFonts w:hint="eastAsia" w:ascii="仿宋_GB2312" w:hAnsi="仿宋_GB2312" w:eastAsia="仿宋_GB2312" w:cs="仿宋_GB2312"/>
          <w:color w:val="555555"/>
          <w:sz w:val="32"/>
          <w:szCs w:val="32"/>
        </w:rPr>
        <w:t>。</w:t>
      </w:r>
    </w:p>
    <w:p>
      <w:pPr>
        <w:pStyle w:val="7"/>
        <w:spacing w:before="0" w:beforeAutospacing="0" w:after="0" w:afterAutospacing="0" w:line="560" w:lineRule="exact"/>
        <w:ind w:firstLine="643" w:firstLineChars="200"/>
        <w:jc w:val="both"/>
        <w:rPr>
          <w:rFonts w:hint="eastAsia" w:ascii="仿宋_GB2312" w:hAnsi="仿宋_GB2312" w:eastAsia="仿宋_GB2312" w:cs="仿宋_GB2312"/>
          <w:color w:val="555555"/>
          <w:sz w:val="32"/>
          <w:szCs w:val="32"/>
          <w:lang w:val="en-US" w:eastAsia="zh-CN"/>
        </w:rPr>
      </w:pPr>
      <w:r>
        <w:rPr>
          <w:rFonts w:hint="eastAsia" w:ascii="仿宋_GB2312" w:hAnsi="仿宋_GB2312" w:eastAsia="仿宋_GB2312" w:cs="仿宋_GB2312"/>
          <w:b/>
          <w:bCs/>
          <w:color w:val="555555"/>
          <w:sz w:val="32"/>
          <w:szCs w:val="32"/>
        </w:rPr>
        <w:t>第五十</w:t>
      </w:r>
      <w:r>
        <w:rPr>
          <w:rFonts w:hint="eastAsia" w:ascii="仿宋_GB2312" w:hAnsi="仿宋_GB2312" w:eastAsia="仿宋_GB2312" w:cs="仿宋_GB2312"/>
          <w:b/>
          <w:bCs/>
          <w:color w:val="555555"/>
          <w:sz w:val="32"/>
          <w:szCs w:val="32"/>
          <w:lang w:eastAsia="zh-CN"/>
        </w:rPr>
        <w:t>二</w:t>
      </w:r>
      <w:r>
        <w:rPr>
          <w:rFonts w:hint="eastAsia" w:ascii="仿宋_GB2312" w:hAnsi="仿宋_GB2312" w:eastAsia="仿宋_GB2312" w:cs="仿宋_GB2312"/>
          <w:b/>
          <w:bCs/>
          <w:color w:val="555555"/>
          <w:sz w:val="32"/>
          <w:szCs w:val="32"/>
        </w:rPr>
        <w:t>条【前海自贸区】</w:t>
      </w:r>
      <w:r>
        <w:rPr>
          <w:rFonts w:hint="eastAsia" w:ascii="仿宋_GB2312" w:hAnsi="仿宋_GB2312" w:eastAsia="仿宋_GB2312" w:cs="仿宋_GB2312"/>
          <w:color w:val="555555"/>
          <w:sz w:val="32"/>
          <w:szCs w:val="32"/>
        </w:rPr>
        <w:t>依据《深圳经济特区前海深港现代服务业合作区条例》《深圳经济特区前海蛇口自由贸易试验片区条例》，前海</w:t>
      </w:r>
      <w:r>
        <w:rPr>
          <w:rFonts w:hint="eastAsia" w:ascii="仿宋_GB2312" w:hAnsi="仿宋_GB2312" w:eastAsia="仿宋_GB2312" w:cs="仿宋_GB2312"/>
          <w:color w:val="555555"/>
          <w:sz w:val="32"/>
          <w:szCs w:val="32"/>
          <w:lang w:eastAsia="zh-CN"/>
        </w:rPr>
        <w:t>地方金融监管</w:t>
      </w:r>
      <w:r>
        <w:rPr>
          <w:rFonts w:hint="eastAsia" w:ascii="仿宋_GB2312" w:hAnsi="仿宋_GB2312" w:eastAsia="仿宋_GB2312" w:cs="仿宋_GB2312"/>
          <w:color w:val="555555"/>
          <w:sz w:val="32"/>
          <w:szCs w:val="32"/>
        </w:rPr>
        <w:t>局可另行制定适用</w:t>
      </w:r>
      <w:r>
        <w:rPr>
          <w:rFonts w:hint="eastAsia" w:ascii="仿宋_GB2312" w:hAnsi="仿宋_GB2312" w:eastAsia="仿宋_GB2312" w:cs="仿宋_GB2312"/>
          <w:color w:val="555555"/>
          <w:sz w:val="32"/>
          <w:szCs w:val="32"/>
          <w:lang w:eastAsia="zh-CN"/>
        </w:rPr>
        <w:t>区域内</w:t>
      </w:r>
      <w:r>
        <w:rPr>
          <w:rFonts w:hint="eastAsia" w:ascii="仿宋_GB2312" w:hAnsi="仿宋_GB2312" w:eastAsia="仿宋_GB2312" w:cs="仿宋_GB2312"/>
          <w:color w:val="555555"/>
          <w:sz w:val="32"/>
          <w:szCs w:val="32"/>
        </w:rPr>
        <w:t>的交易场所监管办法，但不得突破本办法相关禁止性规定</w:t>
      </w:r>
      <w:r>
        <w:rPr>
          <w:rFonts w:hint="eastAsia" w:ascii="仿宋_GB2312" w:hAnsi="仿宋_GB2312" w:eastAsia="仿宋_GB2312" w:cs="仿宋_GB2312"/>
          <w:color w:val="555555"/>
          <w:sz w:val="32"/>
          <w:szCs w:val="32"/>
          <w:lang w:eastAsia="zh-CN"/>
        </w:rPr>
        <w:t>。</w:t>
      </w:r>
    </w:p>
    <w:p>
      <w:pPr>
        <w:pStyle w:val="7"/>
        <w:spacing w:before="0" w:beforeAutospacing="0" w:after="0" w:afterAutospacing="0" w:line="560" w:lineRule="exact"/>
        <w:ind w:firstLine="643" w:firstLineChars="200"/>
        <w:jc w:val="both"/>
        <w:rPr>
          <w:rFonts w:hint="eastAsia" w:ascii="仿宋_GB2312" w:hAnsi="仿宋_GB2312" w:eastAsia="仿宋_GB2312" w:cs="仿宋_GB2312"/>
          <w:b w:val="0"/>
          <w:bCs w:val="0"/>
          <w:color w:val="555555"/>
          <w:sz w:val="32"/>
          <w:szCs w:val="32"/>
        </w:rPr>
      </w:pPr>
      <w:r>
        <w:rPr>
          <w:rFonts w:hint="eastAsia" w:ascii="仿宋_GB2312" w:hAnsi="仿宋_GB2312" w:eastAsia="仿宋_GB2312" w:cs="仿宋_GB2312"/>
          <w:b/>
          <w:bCs/>
          <w:color w:val="555555"/>
          <w:sz w:val="32"/>
          <w:szCs w:val="32"/>
        </w:rPr>
        <w:t>第五十</w:t>
      </w:r>
      <w:r>
        <w:rPr>
          <w:rFonts w:hint="eastAsia" w:ascii="仿宋_GB2312" w:hAnsi="仿宋_GB2312" w:eastAsia="仿宋_GB2312" w:cs="仿宋_GB2312"/>
          <w:b/>
          <w:bCs/>
          <w:color w:val="555555"/>
          <w:sz w:val="32"/>
          <w:szCs w:val="32"/>
          <w:lang w:eastAsia="zh-CN"/>
        </w:rPr>
        <w:t>三</w:t>
      </w:r>
      <w:r>
        <w:rPr>
          <w:rFonts w:hint="eastAsia" w:ascii="仿宋_GB2312" w:hAnsi="仿宋_GB2312" w:eastAsia="仿宋_GB2312" w:cs="仿宋_GB2312"/>
          <w:b/>
          <w:bCs/>
          <w:color w:val="555555"/>
          <w:sz w:val="32"/>
          <w:szCs w:val="32"/>
        </w:rPr>
        <w:t>条【</w:t>
      </w:r>
      <w:r>
        <w:rPr>
          <w:rFonts w:hint="eastAsia" w:ascii="仿宋_GB2312" w:hAnsi="仿宋_GB2312" w:eastAsia="仿宋_GB2312" w:cs="仿宋_GB2312"/>
          <w:b/>
          <w:bCs/>
          <w:color w:val="555555"/>
          <w:sz w:val="32"/>
          <w:szCs w:val="32"/>
          <w:lang w:eastAsia="zh-CN"/>
        </w:rPr>
        <w:t>名词解释</w:t>
      </w:r>
      <w:r>
        <w:rPr>
          <w:rFonts w:hint="eastAsia" w:ascii="仿宋_GB2312" w:hAnsi="仿宋_GB2312" w:eastAsia="仿宋_GB2312" w:cs="仿宋_GB2312"/>
          <w:b/>
          <w:bCs/>
          <w:color w:val="555555"/>
          <w:sz w:val="32"/>
          <w:szCs w:val="32"/>
        </w:rPr>
        <w:t>】</w:t>
      </w:r>
      <w:r>
        <w:rPr>
          <w:rFonts w:hint="eastAsia" w:ascii="仿宋_GB2312" w:hAnsi="仿宋_GB2312" w:eastAsia="仿宋_GB2312" w:cs="仿宋_GB2312"/>
          <w:color w:val="555555"/>
          <w:sz w:val="32"/>
          <w:szCs w:val="32"/>
        </w:rPr>
        <w:t>本</w:t>
      </w:r>
      <w:r>
        <w:rPr>
          <w:rFonts w:hint="eastAsia" w:ascii="仿宋_GB2312" w:hAnsi="仿宋_GB2312" w:eastAsia="仿宋_GB2312" w:cs="仿宋_GB2312"/>
          <w:b w:val="0"/>
          <w:bCs w:val="0"/>
          <w:color w:val="555555"/>
          <w:sz w:val="32"/>
          <w:szCs w:val="32"/>
          <w:lang w:eastAsia="zh-CN"/>
        </w:rPr>
        <w:t>办</w:t>
      </w:r>
      <w:r>
        <w:rPr>
          <w:rFonts w:hint="eastAsia" w:ascii="仿宋_GB2312" w:hAnsi="仿宋_GB2312" w:eastAsia="仿宋_GB2312" w:cs="仿宋_GB2312"/>
          <w:color w:val="555555"/>
          <w:sz w:val="32"/>
          <w:szCs w:val="32"/>
        </w:rPr>
        <w:t>法下列用语的含义：</w:t>
      </w:r>
    </w:p>
    <w:p>
      <w:pPr>
        <w:pStyle w:val="7"/>
        <w:numPr>
          <w:ilvl w:val="0"/>
          <w:numId w:val="4"/>
        </w:numPr>
        <w:spacing w:before="0" w:beforeAutospacing="0" w:after="0" w:afterAutospacing="0" w:line="560" w:lineRule="exact"/>
        <w:ind w:firstLine="640" w:firstLineChars="200"/>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权益类交易场所，是指在本市行政区域内依法依规设立，从事</w:t>
      </w:r>
      <w:r>
        <w:rPr>
          <w:rFonts w:hint="eastAsia" w:ascii="仿宋_GB2312" w:hAnsi="仿宋_GB2312" w:eastAsia="仿宋_GB2312" w:cs="仿宋_GB2312"/>
          <w:color w:val="555555"/>
          <w:sz w:val="32"/>
          <w:szCs w:val="32"/>
          <w:lang w:eastAsia="zh-CN"/>
        </w:rPr>
        <w:t>债权、</w:t>
      </w:r>
      <w:r>
        <w:rPr>
          <w:rFonts w:hint="eastAsia" w:ascii="仿宋_GB2312" w:hAnsi="仿宋_GB2312" w:eastAsia="仿宋_GB2312" w:cs="仿宋_GB2312"/>
          <w:color w:val="555555"/>
          <w:sz w:val="32"/>
          <w:szCs w:val="32"/>
        </w:rPr>
        <w:t>排放权、文化产权、文化艺术品权益、金融资产权益等权益类交易的交易场所。</w:t>
      </w:r>
    </w:p>
    <w:p>
      <w:pPr>
        <w:pStyle w:val="7"/>
        <w:numPr>
          <w:ilvl w:val="0"/>
          <w:numId w:val="4"/>
        </w:numPr>
        <w:spacing w:before="0" w:beforeAutospacing="0" w:after="0" w:afterAutospacing="0" w:line="560" w:lineRule="exact"/>
        <w:ind w:firstLine="640" w:firstLineChars="200"/>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lang w:eastAsia="zh-CN"/>
        </w:rPr>
        <w:t>大宗</w:t>
      </w:r>
      <w:r>
        <w:rPr>
          <w:rFonts w:hint="eastAsia" w:ascii="仿宋_GB2312" w:hAnsi="仿宋_GB2312" w:eastAsia="仿宋_GB2312" w:cs="仿宋_GB2312"/>
          <w:color w:val="555555"/>
          <w:sz w:val="32"/>
          <w:szCs w:val="32"/>
        </w:rPr>
        <w:t>商品现货</w:t>
      </w:r>
      <w:r>
        <w:rPr>
          <w:rFonts w:hint="eastAsia" w:ascii="仿宋_GB2312" w:hAnsi="仿宋_GB2312" w:eastAsia="仿宋_GB2312" w:cs="仿宋_GB2312"/>
          <w:color w:val="555555"/>
          <w:sz w:val="32"/>
          <w:szCs w:val="32"/>
          <w:lang w:eastAsia="zh-CN"/>
        </w:rPr>
        <w:t>类交易场所，</w:t>
      </w:r>
      <w:r>
        <w:rPr>
          <w:rFonts w:hint="eastAsia" w:ascii="仿宋_GB2312" w:hAnsi="仿宋_GB2312" w:eastAsia="仿宋_GB2312" w:cs="仿宋_GB2312"/>
          <w:color w:val="555555"/>
          <w:sz w:val="32"/>
          <w:szCs w:val="32"/>
        </w:rPr>
        <w:t>是指在本市行政区域内依法设立的，名称中包含“交易中心”或“交易所”等字样，由买卖双方进行公开的、经常性的或定期性的商品现货交易活动，具有信息、物流、仓储、交收等配套服务功能的场所或互联网交易平台。</w:t>
      </w:r>
    </w:p>
    <w:p>
      <w:pPr>
        <w:pStyle w:val="7"/>
        <w:numPr>
          <w:ilvl w:val="-1"/>
          <w:numId w:val="0"/>
        </w:numPr>
        <w:spacing w:before="0" w:beforeAutospacing="0" w:after="0" w:afterAutospacing="0" w:line="560" w:lineRule="exact"/>
        <w:ind w:firstLine="640" w:firstLineChars="200"/>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lang w:eastAsia="zh-CN"/>
        </w:rPr>
        <w:t>大宗</w:t>
      </w:r>
      <w:r>
        <w:rPr>
          <w:rFonts w:hint="eastAsia" w:ascii="仿宋_GB2312" w:hAnsi="仿宋_GB2312" w:eastAsia="仿宋_GB2312" w:cs="仿宋_GB2312"/>
          <w:color w:val="555555"/>
          <w:sz w:val="32"/>
          <w:szCs w:val="32"/>
        </w:rPr>
        <w:t>商品现货是指可进入流通领域，具有商品属性并用于生产及消费的大批量买卖的实物商品，不包括传统意义上批发市场销售的工业品、农副产品。</w:t>
      </w:r>
    </w:p>
    <w:p>
      <w:pPr>
        <w:pStyle w:val="7"/>
        <w:numPr>
          <w:ilvl w:val="0"/>
          <w:numId w:val="4"/>
        </w:numPr>
        <w:spacing w:before="0" w:beforeAutospacing="0" w:after="0" w:afterAutospacing="0" w:line="560" w:lineRule="exact"/>
        <w:ind w:firstLine="640" w:firstLineChars="200"/>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lang w:eastAsia="zh-CN"/>
        </w:rPr>
        <w:t>分支机构，是指交易场所投资设立的、有固定的经营场所、以自己名义直接对外从事经营活动的、不具有法人资格，其民事责任由交易场所总部承担的经济组织。</w:t>
      </w:r>
    </w:p>
    <w:p>
      <w:pPr>
        <w:pStyle w:val="7"/>
        <w:numPr>
          <w:ilvl w:val="0"/>
          <w:numId w:val="4"/>
        </w:numPr>
        <w:spacing w:before="0" w:beforeAutospacing="0" w:after="0" w:afterAutospacing="0" w:line="560" w:lineRule="exact"/>
        <w:ind w:firstLine="640" w:firstLineChars="200"/>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lang w:eastAsia="zh-CN"/>
        </w:rPr>
        <w:t>会员、代理商、授权服务机构，是指受交易场所委托，代理交易场所从事业务宣传、市场推广、投资者准入及服务等业务的第三方机构，包括企业法人或其他经济组织，但为交易场所及投资者提供资金存管、结算等服务的商业银行和第三方机构等除外。</w:t>
      </w:r>
    </w:p>
    <w:p>
      <w:pPr>
        <w:pStyle w:val="7"/>
        <w:numPr>
          <w:ilvl w:val="0"/>
          <w:numId w:val="4"/>
        </w:numPr>
        <w:spacing w:before="0" w:beforeAutospacing="0" w:after="0" w:afterAutospacing="0" w:line="560" w:lineRule="exact"/>
        <w:ind w:firstLine="640" w:firstLineChars="200"/>
        <w:jc w:val="both"/>
        <w:rPr>
          <w:rFonts w:hint="eastAsia" w:ascii="仿宋_GB2312" w:hAnsi="仿宋_GB2312" w:eastAsia="仿宋_GB2312" w:cs="仿宋_GB2312"/>
          <w:color w:val="555555"/>
          <w:sz w:val="32"/>
          <w:szCs w:val="32"/>
        </w:rPr>
      </w:pPr>
      <w:r>
        <w:rPr>
          <w:rFonts w:hint="eastAsia" w:ascii="仿宋_GB2312" w:hAnsi="仿宋_GB2312" w:eastAsia="仿宋_GB2312" w:cs="仿宋_GB2312"/>
          <w:color w:val="555555"/>
          <w:sz w:val="32"/>
          <w:szCs w:val="32"/>
        </w:rPr>
        <w:t>高级管理人员，是指公司</w:t>
      </w:r>
      <w:r>
        <w:rPr>
          <w:rFonts w:hint="eastAsia" w:ascii="仿宋_GB2312" w:hAnsi="仿宋_GB2312" w:eastAsia="仿宋_GB2312" w:cs="仿宋_GB2312"/>
          <w:color w:val="555555"/>
          <w:sz w:val="32"/>
          <w:szCs w:val="32"/>
          <w:lang w:eastAsia="zh-CN"/>
        </w:rPr>
        <w:t>的总</w:t>
      </w:r>
      <w:r>
        <w:rPr>
          <w:rFonts w:hint="eastAsia" w:ascii="仿宋_GB2312" w:hAnsi="仿宋_GB2312" w:eastAsia="仿宋_GB2312" w:cs="仿宋_GB2312"/>
          <w:color w:val="555555"/>
          <w:sz w:val="32"/>
          <w:szCs w:val="32"/>
        </w:rPr>
        <w:t>经理、副</w:t>
      </w:r>
      <w:r>
        <w:rPr>
          <w:rFonts w:hint="eastAsia" w:ascii="仿宋_GB2312" w:hAnsi="仿宋_GB2312" w:eastAsia="仿宋_GB2312" w:cs="仿宋_GB2312"/>
          <w:color w:val="555555"/>
          <w:sz w:val="32"/>
          <w:szCs w:val="32"/>
          <w:lang w:eastAsia="zh-CN"/>
        </w:rPr>
        <w:t>总</w:t>
      </w:r>
      <w:r>
        <w:rPr>
          <w:rFonts w:hint="eastAsia" w:ascii="仿宋_GB2312" w:hAnsi="仿宋_GB2312" w:eastAsia="仿宋_GB2312" w:cs="仿宋_GB2312"/>
          <w:color w:val="555555"/>
          <w:sz w:val="32"/>
          <w:szCs w:val="32"/>
        </w:rPr>
        <w:t>经理、财务负责人，</w:t>
      </w:r>
      <w:r>
        <w:rPr>
          <w:rFonts w:hint="eastAsia" w:ascii="仿宋_GB2312" w:hAnsi="仿宋_GB2312" w:eastAsia="仿宋_GB2312" w:cs="仿宋_GB2312"/>
          <w:b w:val="0"/>
          <w:bCs w:val="0"/>
          <w:color w:val="555555"/>
          <w:sz w:val="32"/>
          <w:szCs w:val="32"/>
        </w:rPr>
        <w:t>合规负责人、风控负责人</w:t>
      </w:r>
      <w:r>
        <w:rPr>
          <w:rFonts w:hint="eastAsia" w:ascii="仿宋_GB2312" w:hAnsi="仿宋_GB2312" w:eastAsia="仿宋_GB2312" w:cs="仿宋_GB2312"/>
          <w:color w:val="555555"/>
          <w:sz w:val="32"/>
          <w:szCs w:val="32"/>
        </w:rPr>
        <w:t>和公司章程规定的其他人员。</w:t>
      </w:r>
    </w:p>
    <w:p>
      <w:pPr>
        <w:pStyle w:val="7"/>
        <w:numPr>
          <w:ilvl w:val="0"/>
          <w:numId w:val="4"/>
        </w:numPr>
        <w:spacing w:before="0" w:beforeAutospacing="0" w:after="0" w:afterAutospacing="0" w:line="560" w:lineRule="exact"/>
        <w:ind w:firstLine="640" w:firstLineChars="200"/>
        <w:jc w:val="both"/>
        <w:rPr>
          <w:rFonts w:hint="eastAsia" w:ascii="仿宋_GB2312" w:hAnsi="仿宋_GB2312" w:eastAsia="仿宋_GB2312" w:cs="仿宋_GB2312"/>
          <w:b w:val="0"/>
          <w:bCs w:val="0"/>
          <w:color w:val="555555"/>
          <w:sz w:val="32"/>
          <w:szCs w:val="32"/>
        </w:rPr>
      </w:pPr>
      <w:r>
        <w:rPr>
          <w:rFonts w:hint="eastAsia" w:ascii="仿宋_GB2312" w:hAnsi="仿宋_GB2312" w:eastAsia="仿宋_GB2312" w:cs="仿宋_GB2312"/>
          <w:color w:val="555555"/>
          <w:sz w:val="32"/>
          <w:szCs w:val="32"/>
          <w:highlight w:val="none"/>
        </w:rPr>
        <w:t>控股股东，</w:t>
      </w:r>
      <w:r>
        <w:rPr>
          <w:rFonts w:hint="eastAsia" w:ascii="仿宋_GB2312" w:hAnsi="仿宋_GB2312" w:eastAsia="仿宋_GB2312" w:cs="仿宋_GB2312"/>
          <w:color w:val="555555"/>
          <w:sz w:val="32"/>
          <w:szCs w:val="32"/>
          <w:highlight w:val="none"/>
        </w:rPr>
        <w:t>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pStyle w:val="7"/>
        <w:numPr>
          <w:ilvl w:val="0"/>
          <w:numId w:val="4"/>
        </w:numPr>
        <w:spacing w:before="0" w:beforeAutospacing="0" w:after="0" w:afterAutospacing="0" w:line="560" w:lineRule="exact"/>
        <w:ind w:firstLine="640" w:firstLineChars="200"/>
        <w:jc w:val="both"/>
        <w:rPr>
          <w:rFonts w:hint="eastAsia" w:ascii="仿宋_GB2312" w:hAnsi="仿宋_GB2312" w:eastAsia="仿宋_GB2312" w:cs="仿宋_GB2312"/>
          <w:b w:val="0"/>
          <w:bCs w:val="0"/>
          <w:color w:val="555555"/>
          <w:sz w:val="32"/>
          <w:szCs w:val="32"/>
        </w:rPr>
      </w:pPr>
      <w:r>
        <w:rPr>
          <w:rFonts w:hint="eastAsia" w:ascii="仿宋_GB2312" w:hAnsi="仿宋_GB2312" w:eastAsia="仿宋_GB2312" w:cs="仿宋_GB2312"/>
          <w:color w:val="555555"/>
          <w:sz w:val="32"/>
          <w:szCs w:val="32"/>
        </w:rPr>
        <w:t>实际控制人，是指</w:t>
      </w:r>
      <w:r>
        <w:rPr>
          <w:rFonts w:hint="eastAsia" w:ascii="仿宋_GB2312" w:hAnsi="仿宋_GB2312" w:eastAsia="仿宋_GB2312" w:cs="仿宋_GB2312"/>
          <w:b w:val="0"/>
          <w:bCs w:val="0"/>
          <w:color w:val="555555"/>
          <w:sz w:val="32"/>
          <w:szCs w:val="32"/>
          <w:lang w:eastAsia="zh-CN"/>
        </w:rPr>
        <w:t>控股股东或者</w:t>
      </w:r>
      <w:r>
        <w:rPr>
          <w:rFonts w:hint="eastAsia" w:ascii="仿宋_GB2312" w:hAnsi="仿宋_GB2312" w:eastAsia="仿宋_GB2312" w:cs="仿宋_GB2312"/>
          <w:color w:val="555555"/>
          <w:sz w:val="32"/>
          <w:szCs w:val="32"/>
        </w:rPr>
        <w:t>虽不是公司的股东，但通过投资关系、协议或者其他安排，能够实际支配公司行为的人。</w:t>
      </w:r>
    </w:p>
    <w:p>
      <w:pPr>
        <w:pStyle w:val="7"/>
        <w:numPr>
          <w:ilvl w:val="0"/>
          <w:numId w:val="4"/>
        </w:numPr>
        <w:spacing w:before="0" w:beforeAutospacing="0" w:after="0" w:afterAutospacing="0" w:line="560" w:lineRule="exact"/>
        <w:ind w:firstLine="640" w:firstLineChars="200"/>
        <w:jc w:val="both"/>
        <w:rPr>
          <w:rFonts w:hint="eastAsia" w:ascii="仿宋_GB2312" w:hAnsi="仿宋_GB2312" w:eastAsia="仿宋_GB2312" w:cs="仿宋_GB2312"/>
          <w:b w:val="0"/>
          <w:bCs w:val="0"/>
          <w:color w:val="555555"/>
          <w:sz w:val="32"/>
          <w:szCs w:val="32"/>
        </w:rPr>
      </w:pPr>
      <w:r>
        <w:rPr>
          <w:rFonts w:hint="eastAsia" w:ascii="仿宋_GB2312" w:hAnsi="仿宋_GB2312" w:eastAsia="仿宋_GB2312" w:cs="仿宋_GB2312"/>
          <w:color w:val="555555"/>
          <w:sz w:val="32"/>
          <w:szCs w:val="32"/>
        </w:rPr>
        <w:t>关联关系，是指公司控股股东、实际控制人、董事、监事、高级管理人员与其直接或者间接控制的企业之间的关系，以及可能导致公司利益转移的其他关系。但是，国家控股的企业之间不因为同受国家控股而具有关联关系。</w:t>
      </w:r>
    </w:p>
    <w:p>
      <w:pPr>
        <w:pStyle w:val="7"/>
        <w:numPr>
          <w:ilvl w:val="0"/>
          <w:numId w:val="4"/>
        </w:numPr>
        <w:spacing w:before="0" w:beforeAutospacing="0" w:after="0" w:afterAutospacing="0" w:line="560" w:lineRule="exact"/>
        <w:ind w:firstLine="640" w:firstLineChars="200"/>
        <w:jc w:val="both"/>
        <w:rPr>
          <w:rFonts w:hint="eastAsia" w:ascii="仿宋_GB2312" w:hAnsi="仿宋_GB2312" w:eastAsia="仿宋_GB2312" w:cs="仿宋_GB2312"/>
          <w:b w:val="0"/>
          <w:bCs w:val="0"/>
          <w:color w:val="555555"/>
          <w:sz w:val="32"/>
          <w:szCs w:val="32"/>
        </w:rPr>
      </w:pPr>
      <w:r>
        <w:rPr>
          <w:rFonts w:hint="eastAsia" w:ascii="仿宋_GB2312" w:hAnsi="仿宋_GB2312" w:eastAsia="仿宋_GB2312" w:cs="仿宋_GB2312"/>
          <w:color w:val="555555"/>
          <w:sz w:val="32"/>
          <w:szCs w:val="32"/>
          <w:lang w:val="en-US" w:eastAsia="zh-CN"/>
        </w:rPr>
        <w:t>非标债务融资产品与《标准化债权类资产认定规则》所称“非标准化债权类资产”的涵义类同。</w:t>
      </w:r>
    </w:p>
    <w:p>
      <w:pPr>
        <w:pStyle w:val="7"/>
        <w:spacing w:before="0" w:beforeAutospacing="0" w:after="0" w:afterAutospacing="0" w:line="560" w:lineRule="exact"/>
        <w:ind w:firstLine="643" w:firstLineChars="200"/>
        <w:jc w:val="both"/>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第五十</w:t>
      </w:r>
      <w:r>
        <w:rPr>
          <w:rFonts w:hint="eastAsia" w:ascii="仿宋_GB2312" w:hAnsi="仿宋_GB2312" w:eastAsia="仿宋_GB2312" w:cs="仿宋_GB2312"/>
          <w:b/>
          <w:bCs/>
          <w:color w:val="555555"/>
          <w:sz w:val="32"/>
          <w:szCs w:val="32"/>
          <w:lang w:eastAsia="zh-CN"/>
        </w:rPr>
        <w:t>四</w:t>
      </w:r>
      <w:r>
        <w:rPr>
          <w:rFonts w:hint="eastAsia" w:ascii="仿宋_GB2312" w:hAnsi="仿宋_GB2312" w:eastAsia="仿宋_GB2312" w:cs="仿宋_GB2312"/>
          <w:b/>
          <w:bCs/>
          <w:color w:val="555555"/>
          <w:sz w:val="32"/>
          <w:szCs w:val="32"/>
        </w:rPr>
        <w:t>条【解释事宜】</w:t>
      </w:r>
      <w:r>
        <w:rPr>
          <w:rFonts w:hint="eastAsia" w:ascii="仿宋_GB2312" w:hAnsi="仿宋_GB2312" w:eastAsia="仿宋_GB2312" w:cs="仿宋_GB2312"/>
          <w:color w:val="555555"/>
          <w:sz w:val="32"/>
          <w:szCs w:val="32"/>
        </w:rPr>
        <w:t>本办法由联席会议办公室会同有关部门负责解释。未尽事宜，按照《中华人民共和国公司法》等相关法律法规和国家有关政策文件执行。</w:t>
      </w:r>
    </w:p>
    <w:p>
      <w:pPr>
        <w:pStyle w:val="7"/>
        <w:spacing w:before="0" w:beforeAutospacing="0" w:after="0" w:afterAutospacing="0" w:line="560" w:lineRule="exact"/>
        <w:ind w:firstLine="643" w:firstLineChars="200"/>
        <w:rPr>
          <w:rFonts w:ascii="仿宋_GB2312" w:hAnsi="仿宋_GB2312" w:eastAsia="仿宋_GB2312" w:cs="仿宋_GB2312"/>
          <w:color w:val="555555"/>
          <w:sz w:val="32"/>
          <w:szCs w:val="32"/>
        </w:rPr>
      </w:pPr>
      <w:r>
        <w:rPr>
          <w:rFonts w:hint="eastAsia" w:ascii="仿宋_GB2312" w:hAnsi="仿宋_GB2312" w:eastAsia="仿宋_GB2312" w:cs="仿宋_GB2312"/>
          <w:b/>
          <w:bCs/>
          <w:color w:val="555555"/>
          <w:sz w:val="32"/>
          <w:szCs w:val="32"/>
        </w:rPr>
        <w:t>第五十</w:t>
      </w:r>
      <w:r>
        <w:rPr>
          <w:rFonts w:hint="eastAsia" w:ascii="仿宋_GB2312" w:hAnsi="仿宋_GB2312" w:eastAsia="仿宋_GB2312" w:cs="仿宋_GB2312"/>
          <w:b/>
          <w:bCs/>
          <w:color w:val="555555"/>
          <w:sz w:val="32"/>
          <w:szCs w:val="32"/>
          <w:lang w:eastAsia="zh-CN"/>
        </w:rPr>
        <w:t>五</w:t>
      </w:r>
      <w:r>
        <w:rPr>
          <w:rFonts w:hint="eastAsia" w:ascii="仿宋_GB2312" w:hAnsi="仿宋_GB2312" w:eastAsia="仿宋_GB2312" w:cs="仿宋_GB2312"/>
          <w:b/>
          <w:bCs/>
          <w:color w:val="555555"/>
          <w:sz w:val="32"/>
          <w:szCs w:val="32"/>
        </w:rPr>
        <w:t>条【生效时间】</w:t>
      </w:r>
      <w:r>
        <w:rPr>
          <w:rFonts w:hint="eastAsia" w:ascii="仿宋_GB2312" w:hAnsi="仿宋_GB2312" w:eastAsia="仿宋_GB2312" w:cs="仿宋_GB2312"/>
          <w:color w:val="555555"/>
          <w:sz w:val="32"/>
          <w:szCs w:val="32"/>
        </w:rPr>
        <w:t>本办法自2021年*月*日起施行，有效期5年。《深圳市交易场所监督管理暂行办法》《深圳市交易场所设立申请工作指引》同时废止。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C4D29"/>
    <w:multiLevelType w:val="singleLevel"/>
    <w:tmpl w:val="E32C4D29"/>
    <w:lvl w:ilvl="0" w:tentative="0">
      <w:start w:val="1"/>
      <w:numFmt w:val="chineseCounting"/>
      <w:suff w:val="nothing"/>
      <w:lvlText w:val="（%1）"/>
      <w:lvlJc w:val="left"/>
      <w:rPr>
        <w:rFonts w:hint="eastAsia"/>
      </w:rPr>
    </w:lvl>
  </w:abstractNum>
  <w:abstractNum w:abstractNumId="1">
    <w:nsid w:val="2E66CCA6"/>
    <w:multiLevelType w:val="singleLevel"/>
    <w:tmpl w:val="2E66CCA6"/>
    <w:lvl w:ilvl="0" w:tentative="0">
      <w:start w:val="1"/>
      <w:numFmt w:val="chineseCounting"/>
      <w:suff w:val="nothing"/>
      <w:lvlText w:val="（%1）"/>
      <w:lvlJc w:val="left"/>
      <w:rPr>
        <w:rFonts w:hint="eastAsia"/>
      </w:rPr>
    </w:lvl>
  </w:abstractNum>
  <w:abstractNum w:abstractNumId="2">
    <w:nsid w:val="3976D90A"/>
    <w:multiLevelType w:val="singleLevel"/>
    <w:tmpl w:val="3976D90A"/>
    <w:lvl w:ilvl="0" w:tentative="0">
      <w:start w:val="3"/>
      <w:numFmt w:val="chineseCounting"/>
      <w:suff w:val="space"/>
      <w:lvlText w:val="第%1章"/>
      <w:lvlJc w:val="left"/>
      <w:rPr>
        <w:rFonts w:hint="eastAsia"/>
      </w:rPr>
    </w:lvl>
  </w:abstractNum>
  <w:abstractNum w:abstractNumId="3">
    <w:nsid w:val="3A86ACE9"/>
    <w:multiLevelType w:val="singleLevel"/>
    <w:tmpl w:val="3A86ACE9"/>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6A"/>
    <w:rsid w:val="00007D05"/>
    <w:rsid w:val="000274DC"/>
    <w:rsid w:val="00045B53"/>
    <w:rsid w:val="00067F66"/>
    <w:rsid w:val="00075BEA"/>
    <w:rsid w:val="00081F7B"/>
    <w:rsid w:val="00163E6C"/>
    <w:rsid w:val="0016458B"/>
    <w:rsid w:val="00172A27"/>
    <w:rsid w:val="001D7386"/>
    <w:rsid w:val="00201AC8"/>
    <w:rsid w:val="002306A6"/>
    <w:rsid w:val="002444A4"/>
    <w:rsid w:val="00244539"/>
    <w:rsid w:val="00272E29"/>
    <w:rsid w:val="002827DA"/>
    <w:rsid w:val="002D5A47"/>
    <w:rsid w:val="003027D2"/>
    <w:rsid w:val="003320C8"/>
    <w:rsid w:val="00332A64"/>
    <w:rsid w:val="00364421"/>
    <w:rsid w:val="003D4705"/>
    <w:rsid w:val="003F3D9E"/>
    <w:rsid w:val="004157C2"/>
    <w:rsid w:val="00420655"/>
    <w:rsid w:val="004304DE"/>
    <w:rsid w:val="00430CDB"/>
    <w:rsid w:val="00432935"/>
    <w:rsid w:val="004B3957"/>
    <w:rsid w:val="004C1F1F"/>
    <w:rsid w:val="004F74AD"/>
    <w:rsid w:val="00512404"/>
    <w:rsid w:val="00542167"/>
    <w:rsid w:val="0056531B"/>
    <w:rsid w:val="0056607E"/>
    <w:rsid w:val="00570C76"/>
    <w:rsid w:val="00581946"/>
    <w:rsid w:val="00583BD2"/>
    <w:rsid w:val="00616201"/>
    <w:rsid w:val="00661F47"/>
    <w:rsid w:val="0066737F"/>
    <w:rsid w:val="006766CA"/>
    <w:rsid w:val="006A601E"/>
    <w:rsid w:val="006A6B28"/>
    <w:rsid w:val="006E4518"/>
    <w:rsid w:val="006F26B1"/>
    <w:rsid w:val="00711648"/>
    <w:rsid w:val="00740A9E"/>
    <w:rsid w:val="007569C4"/>
    <w:rsid w:val="00765ED7"/>
    <w:rsid w:val="007D5B8B"/>
    <w:rsid w:val="007E300A"/>
    <w:rsid w:val="00845063"/>
    <w:rsid w:val="00857655"/>
    <w:rsid w:val="00860510"/>
    <w:rsid w:val="008E5F6B"/>
    <w:rsid w:val="008F7FA5"/>
    <w:rsid w:val="00912BED"/>
    <w:rsid w:val="00935FCF"/>
    <w:rsid w:val="00947D01"/>
    <w:rsid w:val="009637A0"/>
    <w:rsid w:val="009C6370"/>
    <w:rsid w:val="009D7AD8"/>
    <w:rsid w:val="00A065C1"/>
    <w:rsid w:val="00A14140"/>
    <w:rsid w:val="00A51189"/>
    <w:rsid w:val="00A775C0"/>
    <w:rsid w:val="00A833E7"/>
    <w:rsid w:val="00AB60EE"/>
    <w:rsid w:val="00AB64F3"/>
    <w:rsid w:val="00AE1C7A"/>
    <w:rsid w:val="00B1514A"/>
    <w:rsid w:val="00BA09CA"/>
    <w:rsid w:val="00BF1E9B"/>
    <w:rsid w:val="00BF42A4"/>
    <w:rsid w:val="00C72584"/>
    <w:rsid w:val="00C939ED"/>
    <w:rsid w:val="00CA1425"/>
    <w:rsid w:val="00CB447A"/>
    <w:rsid w:val="00CD0C7A"/>
    <w:rsid w:val="00D15C67"/>
    <w:rsid w:val="00D7505C"/>
    <w:rsid w:val="00D75783"/>
    <w:rsid w:val="00DA37C6"/>
    <w:rsid w:val="00DC112D"/>
    <w:rsid w:val="00DE66DA"/>
    <w:rsid w:val="00DF07D0"/>
    <w:rsid w:val="00E36A9C"/>
    <w:rsid w:val="00E45F04"/>
    <w:rsid w:val="00E82148"/>
    <w:rsid w:val="00E871E3"/>
    <w:rsid w:val="00E903CD"/>
    <w:rsid w:val="00EA128C"/>
    <w:rsid w:val="00EE326E"/>
    <w:rsid w:val="00EF177D"/>
    <w:rsid w:val="00F01B03"/>
    <w:rsid w:val="00F33748"/>
    <w:rsid w:val="00F34737"/>
    <w:rsid w:val="00F34FC3"/>
    <w:rsid w:val="00F400C8"/>
    <w:rsid w:val="00F83724"/>
    <w:rsid w:val="00F85078"/>
    <w:rsid w:val="00F93717"/>
    <w:rsid w:val="00FD792D"/>
    <w:rsid w:val="00FE431E"/>
    <w:rsid w:val="010151FC"/>
    <w:rsid w:val="01223386"/>
    <w:rsid w:val="01284091"/>
    <w:rsid w:val="013734B5"/>
    <w:rsid w:val="013C28AE"/>
    <w:rsid w:val="01413C3F"/>
    <w:rsid w:val="014F1CC6"/>
    <w:rsid w:val="01530C12"/>
    <w:rsid w:val="015F322C"/>
    <w:rsid w:val="016E6D6A"/>
    <w:rsid w:val="017B30C5"/>
    <w:rsid w:val="01805E04"/>
    <w:rsid w:val="0194050D"/>
    <w:rsid w:val="019D3484"/>
    <w:rsid w:val="019F4BC2"/>
    <w:rsid w:val="01A647F2"/>
    <w:rsid w:val="01C944D6"/>
    <w:rsid w:val="01CA1D4C"/>
    <w:rsid w:val="01EC10A4"/>
    <w:rsid w:val="01F218C4"/>
    <w:rsid w:val="02264D41"/>
    <w:rsid w:val="022F63EA"/>
    <w:rsid w:val="023A22A9"/>
    <w:rsid w:val="023D2811"/>
    <w:rsid w:val="02444589"/>
    <w:rsid w:val="025240E5"/>
    <w:rsid w:val="02574037"/>
    <w:rsid w:val="027176A1"/>
    <w:rsid w:val="02796E12"/>
    <w:rsid w:val="027B779F"/>
    <w:rsid w:val="02844768"/>
    <w:rsid w:val="028C6B7B"/>
    <w:rsid w:val="028D6577"/>
    <w:rsid w:val="02BA16B6"/>
    <w:rsid w:val="02BB2578"/>
    <w:rsid w:val="02D914E0"/>
    <w:rsid w:val="02DB38B4"/>
    <w:rsid w:val="02F03FD6"/>
    <w:rsid w:val="02F76772"/>
    <w:rsid w:val="03020847"/>
    <w:rsid w:val="030A150F"/>
    <w:rsid w:val="030D691A"/>
    <w:rsid w:val="03241677"/>
    <w:rsid w:val="0329769B"/>
    <w:rsid w:val="03327EDD"/>
    <w:rsid w:val="03451857"/>
    <w:rsid w:val="034924D3"/>
    <w:rsid w:val="03540D8D"/>
    <w:rsid w:val="03594A7F"/>
    <w:rsid w:val="035A480B"/>
    <w:rsid w:val="035E7E07"/>
    <w:rsid w:val="03750F16"/>
    <w:rsid w:val="037D0F5B"/>
    <w:rsid w:val="037D11D6"/>
    <w:rsid w:val="03A5562D"/>
    <w:rsid w:val="03A61FAD"/>
    <w:rsid w:val="03CF2136"/>
    <w:rsid w:val="03E22DD5"/>
    <w:rsid w:val="03F407F5"/>
    <w:rsid w:val="03FD3D3C"/>
    <w:rsid w:val="042030BE"/>
    <w:rsid w:val="04252885"/>
    <w:rsid w:val="04502465"/>
    <w:rsid w:val="045637AB"/>
    <w:rsid w:val="045A57BF"/>
    <w:rsid w:val="04721451"/>
    <w:rsid w:val="0475177F"/>
    <w:rsid w:val="04801CC8"/>
    <w:rsid w:val="048B7FA1"/>
    <w:rsid w:val="049324E5"/>
    <w:rsid w:val="04994B33"/>
    <w:rsid w:val="049A37DE"/>
    <w:rsid w:val="04AA5494"/>
    <w:rsid w:val="04B2729D"/>
    <w:rsid w:val="04CA239A"/>
    <w:rsid w:val="04D457C7"/>
    <w:rsid w:val="051B0BF3"/>
    <w:rsid w:val="052037DC"/>
    <w:rsid w:val="052051F5"/>
    <w:rsid w:val="05297634"/>
    <w:rsid w:val="05762373"/>
    <w:rsid w:val="057C7C24"/>
    <w:rsid w:val="05A33EB4"/>
    <w:rsid w:val="05AA5002"/>
    <w:rsid w:val="05B54459"/>
    <w:rsid w:val="05BC012A"/>
    <w:rsid w:val="05C70CE5"/>
    <w:rsid w:val="05D5570E"/>
    <w:rsid w:val="06007E00"/>
    <w:rsid w:val="06010AAC"/>
    <w:rsid w:val="06091811"/>
    <w:rsid w:val="06146635"/>
    <w:rsid w:val="061A1EF8"/>
    <w:rsid w:val="061A2669"/>
    <w:rsid w:val="063D3CD1"/>
    <w:rsid w:val="064D2A30"/>
    <w:rsid w:val="064E0E73"/>
    <w:rsid w:val="064E4BA5"/>
    <w:rsid w:val="06733C9C"/>
    <w:rsid w:val="06836051"/>
    <w:rsid w:val="06836EF6"/>
    <w:rsid w:val="06873F96"/>
    <w:rsid w:val="068E2AE7"/>
    <w:rsid w:val="06916F18"/>
    <w:rsid w:val="0694080B"/>
    <w:rsid w:val="06B545B5"/>
    <w:rsid w:val="06B9392F"/>
    <w:rsid w:val="06D07B86"/>
    <w:rsid w:val="06D21F69"/>
    <w:rsid w:val="06D2662D"/>
    <w:rsid w:val="06DA04C9"/>
    <w:rsid w:val="06E86588"/>
    <w:rsid w:val="06EB7678"/>
    <w:rsid w:val="06F52D5D"/>
    <w:rsid w:val="06FC3EE8"/>
    <w:rsid w:val="07114C89"/>
    <w:rsid w:val="0775104F"/>
    <w:rsid w:val="078F4CA1"/>
    <w:rsid w:val="07B00CA6"/>
    <w:rsid w:val="07B313A8"/>
    <w:rsid w:val="07BC743C"/>
    <w:rsid w:val="07CB39E4"/>
    <w:rsid w:val="07CC200F"/>
    <w:rsid w:val="07DD3CCF"/>
    <w:rsid w:val="07E2755A"/>
    <w:rsid w:val="07E624A6"/>
    <w:rsid w:val="07FF44F3"/>
    <w:rsid w:val="080C062F"/>
    <w:rsid w:val="080F06FB"/>
    <w:rsid w:val="08102F36"/>
    <w:rsid w:val="08353A23"/>
    <w:rsid w:val="083901EA"/>
    <w:rsid w:val="084B220D"/>
    <w:rsid w:val="084C7AD5"/>
    <w:rsid w:val="08581A53"/>
    <w:rsid w:val="085D3B42"/>
    <w:rsid w:val="08800999"/>
    <w:rsid w:val="088C3C24"/>
    <w:rsid w:val="089B3BD2"/>
    <w:rsid w:val="089D7E52"/>
    <w:rsid w:val="089E1E75"/>
    <w:rsid w:val="08C16FC3"/>
    <w:rsid w:val="08CD67C0"/>
    <w:rsid w:val="08D245D1"/>
    <w:rsid w:val="08DF6376"/>
    <w:rsid w:val="08E56E64"/>
    <w:rsid w:val="09016BDC"/>
    <w:rsid w:val="09103C54"/>
    <w:rsid w:val="091501B2"/>
    <w:rsid w:val="092F2CFF"/>
    <w:rsid w:val="09336DB4"/>
    <w:rsid w:val="0938228D"/>
    <w:rsid w:val="093959CB"/>
    <w:rsid w:val="09407E6B"/>
    <w:rsid w:val="095A5E30"/>
    <w:rsid w:val="097472F8"/>
    <w:rsid w:val="09766EF7"/>
    <w:rsid w:val="09852BB0"/>
    <w:rsid w:val="09875183"/>
    <w:rsid w:val="098D112F"/>
    <w:rsid w:val="09A84DFC"/>
    <w:rsid w:val="09B22CD3"/>
    <w:rsid w:val="09BA1B1D"/>
    <w:rsid w:val="09C86541"/>
    <w:rsid w:val="09CE24E1"/>
    <w:rsid w:val="09D254AC"/>
    <w:rsid w:val="09DD697A"/>
    <w:rsid w:val="0A0E7748"/>
    <w:rsid w:val="0A116DDC"/>
    <w:rsid w:val="0A174BF8"/>
    <w:rsid w:val="0A1F7E06"/>
    <w:rsid w:val="0A2B3FEE"/>
    <w:rsid w:val="0A3E577F"/>
    <w:rsid w:val="0A4024D8"/>
    <w:rsid w:val="0A407E65"/>
    <w:rsid w:val="0A4A71DA"/>
    <w:rsid w:val="0A5101D3"/>
    <w:rsid w:val="0A530D81"/>
    <w:rsid w:val="0A59409B"/>
    <w:rsid w:val="0A687F29"/>
    <w:rsid w:val="0A7A3B44"/>
    <w:rsid w:val="0A8A3E61"/>
    <w:rsid w:val="0B01235A"/>
    <w:rsid w:val="0B0544B9"/>
    <w:rsid w:val="0B29371B"/>
    <w:rsid w:val="0B347032"/>
    <w:rsid w:val="0B5267C2"/>
    <w:rsid w:val="0B550D4E"/>
    <w:rsid w:val="0B5713C1"/>
    <w:rsid w:val="0B5B6121"/>
    <w:rsid w:val="0B6C21CF"/>
    <w:rsid w:val="0B6D0DC3"/>
    <w:rsid w:val="0B6D7BFB"/>
    <w:rsid w:val="0B7914A2"/>
    <w:rsid w:val="0B7E5455"/>
    <w:rsid w:val="0B801519"/>
    <w:rsid w:val="0B857A2E"/>
    <w:rsid w:val="0B8A2942"/>
    <w:rsid w:val="0B8F1C1B"/>
    <w:rsid w:val="0BA23E6F"/>
    <w:rsid w:val="0BA80B89"/>
    <w:rsid w:val="0BAE518C"/>
    <w:rsid w:val="0BCD6785"/>
    <w:rsid w:val="0BE23D4E"/>
    <w:rsid w:val="0BEF7C6E"/>
    <w:rsid w:val="0C2178AE"/>
    <w:rsid w:val="0C2E64C0"/>
    <w:rsid w:val="0C316169"/>
    <w:rsid w:val="0C4D14B6"/>
    <w:rsid w:val="0C5B6686"/>
    <w:rsid w:val="0C5C18A0"/>
    <w:rsid w:val="0C5F397B"/>
    <w:rsid w:val="0C607412"/>
    <w:rsid w:val="0C8029A9"/>
    <w:rsid w:val="0C822FBE"/>
    <w:rsid w:val="0C8F0AD4"/>
    <w:rsid w:val="0C905057"/>
    <w:rsid w:val="0C986DE9"/>
    <w:rsid w:val="0CA66F25"/>
    <w:rsid w:val="0CAD7049"/>
    <w:rsid w:val="0CAE6CB9"/>
    <w:rsid w:val="0CC412E0"/>
    <w:rsid w:val="0CD23643"/>
    <w:rsid w:val="0CD348CC"/>
    <w:rsid w:val="0CD96AA6"/>
    <w:rsid w:val="0CDA6FF9"/>
    <w:rsid w:val="0CEA40EA"/>
    <w:rsid w:val="0CEB5FF8"/>
    <w:rsid w:val="0D082FD3"/>
    <w:rsid w:val="0D0D78A3"/>
    <w:rsid w:val="0D1445C3"/>
    <w:rsid w:val="0D194597"/>
    <w:rsid w:val="0D1A2F2D"/>
    <w:rsid w:val="0D4D1FC0"/>
    <w:rsid w:val="0D4F465A"/>
    <w:rsid w:val="0D4F67A4"/>
    <w:rsid w:val="0D603F11"/>
    <w:rsid w:val="0D604FE7"/>
    <w:rsid w:val="0D7210D1"/>
    <w:rsid w:val="0D754AB6"/>
    <w:rsid w:val="0D77649F"/>
    <w:rsid w:val="0D82144F"/>
    <w:rsid w:val="0DB40763"/>
    <w:rsid w:val="0DB9701D"/>
    <w:rsid w:val="0DC70953"/>
    <w:rsid w:val="0DCB60B1"/>
    <w:rsid w:val="0DD162C9"/>
    <w:rsid w:val="0DE06EA4"/>
    <w:rsid w:val="0DE92F00"/>
    <w:rsid w:val="0DFB34CE"/>
    <w:rsid w:val="0E0246D1"/>
    <w:rsid w:val="0E09726B"/>
    <w:rsid w:val="0E0A4E14"/>
    <w:rsid w:val="0E1C486B"/>
    <w:rsid w:val="0E2001CB"/>
    <w:rsid w:val="0E3F6DA3"/>
    <w:rsid w:val="0E4D1775"/>
    <w:rsid w:val="0E534952"/>
    <w:rsid w:val="0E567C5B"/>
    <w:rsid w:val="0E684FF3"/>
    <w:rsid w:val="0E7D7252"/>
    <w:rsid w:val="0E8F211D"/>
    <w:rsid w:val="0E944DBB"/>
    <w:rsid w:val="0EB321C5"/>
    <w:rsid w:val="0EB526A9"/>
    <w:rsid w:val="0EC13513"/>
    <w:rsid w:val="0ECE2B60"/>
    <w:rsid w:val="0ED94728"/>
    <w:rsid w:val="0EDA55C2"/>
    <w:rsid w:val="0EE718DE"/>
    <w:rsid w:val="0EF73F64"/>
    <w:rsid w:val="0F026284"/>
    <w:rsid w:val="0F072B93"/>
    <w:rsid w:val="0F1A2592"/>
    <w:rsid w:val="0F34138A"/>
    <w:rsid w:val="0F4C7BDC"/>
    <w:rsid w:val="0F4E37C7"/>
    <w:rsid w:val="0F52046A"/>
    <w:rsid w:val="0F542977"/>
    <w:rsid w:val="0F552481"/>
    <w:rsid w:val="0F5F0E8B"/>
    <w:rsid w:val="0F6B668D"/>
    <w:rsid w:val="0F73491A"/>
    <w:rsid w:val="0F7A4193"/>
    <w:rsid w:val="0F8D266C"/>
    <w:rsid w:val="0F9279C6"/>
    <w:rsid w:val="0F9500CE"/>
    <w:rsid w:val="0F955FCF"/>
    <w:rsid w:val="0F9A3167"/>
    <w:rsid w:val="0F9B6262"/>
    <w:rsid w:val="0FB37330"/>
    <w:rsid w:val="0FD84905"/>
    <w:rsid w:val="0FFF7799"/>
    <w:rsid w:val="10000F52"/>
    <w:rsid w:val="101004E0"/>
    <w:rsid w:val="1016233A"/>
    <w:rsid w:val="101F469D"/>
    <w:rsid w:val="10310A5E"/>
    <w:rsid w:val="105E6206"/>
    <w:rsid w:val="10651E4F"/>
    <w:rsid w:val="106A4554"/>
    <w:rsid w:val="106B08BB"/>
    <w:rsid w:val="108F7684"/>
    <w:rsid w:val="109F4C06"/>
    <w:rsid w:val="10AB524F"/>
    <w:rsid w:val="10B5518E"/>
    <w:rsid w:val="10B61D5D"/>
    <w:rsid w:val="10C13C87"/>
    <w:rsid w:val="10C86437"/>
    <w:rsid w:val="10CF07C7"/>
    <w:rsid w:val="10D968CE"/>
    <w:rsid w:val="10DC6D09"/>
    <w:rsid w:val="10E7058A"/>
    <w:rsid w:val="10ED69B5"/>
    <w:rsid w:val="10EE6BCE"/>
    <w:rsid w:val="1110458C"/>
    <w:rsid w:val="111963C5"/>
    <w:rsid w:val="113A7F60"/>
    <w:rsid w:val="113E11AE"/>
    <w:rsid w:val="11461D3D"/>
    <w:rsid w:val="11466874"/>
    <w:rsid w:val="115512DD"/>
    <w:rsid w:val="11650791"/>
    <w:rsid w:val="116C58BC"/>
    <w:rsid w:val="116F2A0E"/>
    <w:rsid w:val="118700AA"/>
    <w:rsid w:val="11906E8C"/>
    <w:rsid w:val="11925F64"/>
    <w:rsid w:val="1196443E"/>
    <w:rsid w:val="119E1F3A"/>
    <w:rsid w:val="11A355FA"/>
    <w:rsid w:val="11CA717F"/>
    <w:rsid w:val="11CE4743"/>
    <w:rsid w:val="11CF72A9"/>
    <w:rsid w:val="11D071FE"/>
    <w:rsid w:val="11D25DF3"/>
    <w:rsid w:val="11F041AB"/>
    <w:rsid w:val="11F26032"/>
    <w:rsid w:val="11FF4B01"/>
    <w:rsid w:val="120A7178"/>
    <w:rsid w:val="12152EC8"/>
    <w:rsid w:val="122316FA"/>
    <w:rsid w:val="12421001"/>
    <w:rsid w:val="124902EE"/>
    <w:rsid w:val="126447D5"/>
    <w:rsid w:val="128A0A74"/>
    <w:rsid w:val="129A0CC8"/>
    <w:rsid w:val="12B52F23"/>
    <w:rsid w:val="12B7509A"/>
    <w:rsid w:val="12BD5789"/>
    <w:rsid w:val="12C913DD"/>
    <w:rsid w:val="12E9792E"/>
    <w:rsid w:val="12FB170A"/>
    <w:rsid w:val="1302074F"/>
    <w:rsid w:val="130B44D6"/>
    <w:rsid w:val="132155EA"/>
    <w:rsid w:val="1322201D"/>
    <w:rsid w:val="13297208"/>
    <w:rsid w:val="132E3D52"/>
    <w:rsid w:val="13312ADF"/>
    <w:rsid w:val="13403C08"/>
    <w:rsid w:val="134B058F"/>
    <w:rsid w:val="134B1F90"/>
    <w:rsid w:val="134B6255"/>
    <w:rsid w:val="134D3B28"/>
    <w:rsid w:val="1352175E"/>
    <w:rsid w:val="13565019"/>
    <w:rsid w:val="135A21BF"/>
    <w:rsid w:val="13AA7706"/>
    <w:rsid w:val="13AE064A"/>
    <w:rsid w:val="13C2291D"/>
    <w:rsid w:val="14002864"/>
    <w:rsid w:val="140B531C"/>
    <w:rsid w:val="140B6B2C"/>
    <w:rsid w:val="142D4BD0"/>
    <w:rsid w:val="142F6D35"/>
    <w:rsid w:val="146B19C3"/>
    <w:rsid w:val="148339E6"/>
    <w:rsid w:val="148E5811"/>
    <w:rsid w:val="14934E1F"/>
    <w:rsid w:val="14AD69C6"/>
    <w:rsid w:val="14AF2605"/>
    <w:rsid w:val="14CE29D4"/>
    <w:rsid w:val="14DC7506"/>
    <w:rsid w:val="14F904B5"/>
    <w:rsid w:val="14FC0727"/>
    <w:rsid w:val="150746E1"/>
    <w:rsid w:val="151914DD"/>
    <w:rsid w:val="15451FEC"/>
    <w:rsid w:val="154613DF"/>
    <w:rsid w:val="156D6494"/>
    <w:rsid w:val="158F0132"/>
    <w:rsid w:val="15930C67"/>
    <w:rsid w:val="15A91E99"/>
    <w:rsid w:val="15B66AFA"/>
    <w:rsid w:val="15C30D83"/>
    <w:rsid w:val="15DE4B92"/>
    <w:rsid w:val="15E16A19"/>
    <w:rsid w:val="15EA0BD8"/>
    <w:rsid w:val="15EF6091"/>
    <w:rsid w:val="15F22187"/>
    <w:rsid w:val="15F824AE"/>
    <w:rsid w:val="164E0062"/>
    <w:rsid w:val="165862CD"/>
    <w:rsid w:val="165E094D"/>
    <w:rsid w:val="168A179C"/>
    <w:rsid w:val="16932B64"/>
    <w:rsid w:val="16A0453D"/>
    <w:rsid w:val="16A20F52"/>
    <w:rsid w:val="16A2317F"/>
    <w:rsid w:val="16A351A2"/>
    <w:rsid w:val="16AB033D"/>
    <w:rsid w:val="16AF5145"/>
    <w:rsid w:val="16B67C16"/>
    <w:rsid w:val="16C766D7"/>
    <w:rsid w:val="16C96B8C"/>
    <w:rsid w:val="16CF71E2"/>
    <w:rsid w:val="16FE3C9B"/>
    <w:rsid w:val="17060D46"/>
    <w:rsid w:val="17065F3D"/>
    <w:rsid w:val="171313F7"/>
    <w:rsid w:val="172306AA"/>
    <w:rsid w:val="1728497A"/>
    <w:rsid w:val="174D3ACD"/>
    <w:rsid w:val="178313B7"/>
    <w:rsid w:val="178638E4"/>
    <w:rsid w:val="178E55F9"/>
    <w:rsid w:val="178E79A9"/>
    <w:rsid w:val="17931708"/>
    <w:rsid w:val="179B485C"/>
    <w:rsid w:val="17AC5805"/>
    <w:rsid w:val="17C26383"/>
    <w:rsid w:val="17C625C4"/>
    <w:rsid w:val="17CB080E"/>
    <w:rsid w:val="17DE367B"/>
    <w:rsid w:val="17EC554E"/>
    <w:rsid w:val="17EF14CB"/>
    <w:rsid w:val="18173D02"/>
    <w:rsid w:val="182A683E"/>
    <w:rsid w:val="184B6158"/>
    <w:rsid w:val="18700027"/>
    <w:rsid w:val="187457D0"/>
    <w:rsid w:val="189B724A"/>
    <w:rsid w:val="18A91200"/>
    <w:rsid w:val="18AB715D"/>
    <w:rsid w:val="18C44718"/>
    <w:rsid w:val="18C56B3C"/>
    <w:rsid w:val="18C92314"/>
    <w:rsid w:val="18DD22FE"/>
    <w:rsid w:val="18E22AC7"/>
    <w:rsid w:val="18F236EE"/>
    <w:rsid w:val="190D0588"/>
    <w:rsid w:val="191E6B4F"/>
    <w:rsid w:val="19350A08"/>
    <w:rsid w:val="19383A4C"/>
    <w:rsid w:val="1945388A"/>
    <w:rsid w:val="19692342"/>
    <w:rsid w:val="19744B3B"/>
    <w:rsid w:val="19837E47"/>
    <w:rsid w:val="19851EBB"/>
    <w:rsid w:val="19956776"/>
    <w:rsid w:val="199C084B"/>
    <w:rsid w:val="19AC6BC0"/>
    <w:rsid w:val="19E3641F"/>
    <w:rsid w:val="1A08180D"/>
    <w:rsid w:val="1A0A11D8"/>
    <w:rsid w:val="1A0B04A1"/>
    <w:rsid w:val="1A0D4D5E"/>
    <w:rsid w:val="1A251EED"/>
    <w:rsid w:val="1A2A702D"/>
    <w:rsid w:val="1A404623"/>
    <w:rsid w:val="1A58435D"/>
    <w:rsid w:val="1A7011E4"/>
    <w:rsid w:val="1A8568AE"/>
    <w:rsid w:val="1A8F122C"/>
    <w:rsid w:val="1AA13DC6"/>
    <w:rsid w:val="1AB21ADC"/>
    <w:rsid w:val="1AB46BD4"/>
    <w:rsid w:val="1AD96A9D"/>
    <w:rsid w:val="1AE71CDA"/>
    <w:rsid w:val="1AE918F2"/>
    <w:rsid w:val="1AF23A1A"/>
    <w:rsid w:val="1AF319EB"/>
    <w:rsid w:val="1B0065DE"/>
    <w:rsid w:val="1B203227"/>
    <w:rsid w:val="1B2872D2"/>
    <w:rsid w:val="1B3B422E"/>
    <w:rsid w:val="1B3E75A6"/>
    <w:rsid w:val="1B65469F"/>
    <w:rsid w:val="1B6868B2"/>
    <w:rsid w:val="1B856E24"/>
    <w:rsid w:val="1B885962"/>
    <w:rsid w:val="1B8A3D58"/>
    <w:rsid w:val="1B96474C"/>
    <w:rsid w:val="1BB14D0D"/>
    <w:rsid w:val="1BB44322"/>
    <w:rsid w:val="1BB8799D"/>
    <w:rsid w:val="1BDE5F41"/>
    <w:rsid w:val="1BE57A7B"/>
    <w:rsid w:val="1BFC3720"/>
    <w:rsid w:val="1C013AF9"/>
    <w:rsid w:val="1C104379"/>
    <w:rsid w:val="1C2B72F7"/>
    <w:rsid w:val="1C355415"/>
    <w:rsid w:val="1C496C29"/>
    <w:rsid w:val="1C4C0CD6"/>
    <w:rsid w:val="1C5A0A27"/>
    <w:rsid w:val="1C6F22E6"/>
    <w:rsid w:val="1C740724"/>
    <w:rsid w:val="1C7F6974"/>
    <w:rsid w:val="1CA205D4"/>
    <w:rsid w:val="1CA61059"/>
    <w:rsid w:val="1CA66FEA"/>
    <w:rsid w:val="1CB01C20"/>
    <w:rsid w:val="1CC075B6"/>
    <w:rsid w:val="1CC52272"/>
    <w:rsid w:val="1CFC1B1E"/>
    <w:rsid w:val="1CFD0AA1"/>
    <w:rsid w:val="1D0B001D"/>
    <w:rsid w:val="1D20028E"/>
    <w:rsid w:val="1D204E9A"/>
    <w:rsid w:val="1D3107A6"/>
    <w:rsid w:val="1D3600A8"/>
    <w:rsid w:val="1D467524"/>
    <w:rsid w:val="1D4872BB"/>
    <w:rsid w:val="1D6D68B1"/>
    <w:rsid w:val="1D6F3234"/>
    <w:rsid w:val="1D7031F7"/>
    <w:rsid w:val="1D775742"/>
    <w:rsid w:val="1D7C52F0"/>
    <w:rsid w:val="1D80070F"/>
    <w:rsid w:val="1D8217D0"/>
    <w:rsid w:val="1D907463"/>
    <w:rsid w:val="1D925009"/>
    <w:rsid w:val="1D9A3BD6"/>
    <w:rsid w:val="1D9C7DCE"/>
    <w:rsid w:val="1DB7350A"/>
    <w:rsid w:val="1DB74CA7"/>
    <w:rsid w:val="1DBA138E"/>
    <w:rsid w:val="1DBF0068"/>
    <w:rsid w:val="1DCB7021"/>
    <w:rsid w:val="1E14556D"/>
    <w:rsid w:val="1E1923FE"/>
    <w:rsid w:val="1E277801"/>
    <w:rsid w:val="1E333BB1"/>
    <w:rsid w:val="1E3D6433"/>
    <w:rsid w:val="1E3E13C4"/>
    <w:rsid w:val="1E4366EB"/>
    <w:rsid w:val="1E466AA6"/>
    <w:rsid w:val="1E46765E"/>
    <w:rsid w:val="1E5E2EB2"/>
    <w:rsid w:val="1E662F47"/>
    <w:rsid w:val="1E8E6401"/>
    <w:rsid w:val="1EB8408E"/>
    <w:rsid w:val="1EB95BAD"/>
    <w:rsid w:val="1EBE5B3C"/>
    <w:rsid w:val="1EC65652"/>
    <w:rsid w:val="1ED626E3"/>
    <w:rsid w:val="1EDC1C72"/>
    <w:rsid w:val="1EEC7DE0"/>
    <w:rsid w:val="1EEF4812"/>
    <w:rsid w:val="1F100757"/>
    <w:rsid w:val="1F1E7980"/>
    <w:rsid w:val="1F204F63"/>
    <w:rsid w:val="1F270D39"/>
    <w:rsid w:val="1F5143DE"/>
    <w:rsid w:val="1F596607"/>
    <w:rsid w:val="1F642C49"/>
    <w:rsid w:val="1F6E7236"/>
    <w:rsid w:val="1F6F4734"/>
    <w:rsid w:val="1F74368B"/>
    <w:rsid w:val="1F830F0F"/>
    <w:rsid w:val="1F88053A"/>
    <w:rsid w:val="1FAB6DC9"/>
    <w:rsid w:val="1FC05B33"/>
    <w:rsid w:val="1FD2431D"/>
    <w:rsid w:val="1FDF0C06"/>
    <w:rsid w:val="1FEB7C27"/>
    <w:rsid w:val="1FF015CB"/>
    <w:rsid w:val="1FF92A27"/>
    <w:rsid w:val="20000A63"/>
    <w:rsid w:val="201F5A6D"/>
    <w:rsid w:val="202908C4"/>
    <w:rsid w:val="202E6626"/>
    <w:rsid w:val="203F1ADD"/>
    <w:rsid w:val="20667AE8"/>
    <w:rsid w:val="206A4FC9"/>
    <w:rsid w:val="2071202B"/>
    <w:rsid w:val="2082022F"/>
    <w:rsid w:val="2089353A"/>
    <w:rsid w:val="20927322"/>
    <w:rsid w:val="20A64F03"/>
    <w:rsid w:val="20A879BF"/>
    <w:rsid w:val="20AA601B"/>
    <w:rsid w:val="20C35E41"/>
    <w:rsid w:val="20CC0789"/>
    <w:rsid w:val="20CD0DF6"/>
    <w:rsid w:val="20D05BF1"/>
    <w:rsid w:val="20D645FC"/>
    <w:rsid w:val="20F062A8"/>
    <w:rsid w:val="20F817BC"/>
    <w:rsid w:val="21012A03"/>
    <w:rsid w:val="21882B1F"/>
    <w:rsid w:val="21B318A5"/>
    <w:rsid w:val="21B6762C"/>
    <w:rsid w:val="21B776A5"/>
    <w:rsid w:val="21C468CA"/>
    <w:rsid w:val="21C47D80"/>
    <w:rsid w:val="21C607AA"/>
    <w:rsid w:val="21C65F3B"/>
    <w:rsid w:val="21D611C8"/>
    <w:rsid w:val="21E97D33"/>
    <w:rsid w:val="21F0084C"/>
    <w:rsid w:val="21FB34A2"/>
    <w:rsid w:val="22153760"/>
    <w:rsid w:val="221B4BF8"/>
    <w:rsid w:val="222F186B"/>
    <w:rsid w:val="223572E1"/>
    <w:rsid w:val="226128AA"/>
    <w:rsid w:val="22727EEF"/>
    <w:rsid w:val="227320FD"/>
    <w:rsid w:val="22784589"/>
    <w:rsid w:val="229148EA"/>
    <w:rsid w:val="22A94A10"/>
    <w:rsid w:val="22C84766"/>
    <w:rsid w:val="22CB0613"/>
    <w:rsid w:val="22D50635"/>
    <w:rsid w:val="22E2029F"/>
    <w:rsid w:val="22EA5796"/>
    <w:rsid w:val="23051248"/>
    <w:rsid w:val="230567EA"/>
    <w:rsid w:val="233C4D49"/>
    <w:rsid w:val="23431AE0"/>
    <w:rsid w:val="234430C4"/>
    <w:rsid w:val="234F2315"/>
    <w:rsid w:val="236046F2"/>
    <w:rsid w:val="2373267F"/>
    <w:rsid w:val="237B1FE3"/>
    <w:rsid w:val="23854C95"/>
    <w:rsid w:val="23941481"/>
    <w:rsid w:val="23B613CA"/>
    <w:rsid w:val="23D601EA"/>
    <w:rsid w:val="23DD49F0"/>
    <w:rsid w:val="23EA15C2"/>
    <w:rsid w:val="23EE74D1"/>
    <w:rsid w:val="23F56E9E"/>
    <w:rsid w:val="240A590B"/>
    <w:rsid w:val="2412058B"/>
    <w:rsid w:val="241F253F"/>
    <w:rsid w:val="24256077"/>
    <w:rsid w:val="242A3D0B"/>
    <w:rsid w:val="243039C3"/>
    <w:rsid w:val="24384A1C"/>
    <w:rsid w:val="24486244"/>
    <w:rsid w:val="2470056F"/>
    <w:rsid w:val="2486471D"/>
    <w:rsid w:val="24A5222C"/>
    <w:rsid w:val="24C816BB"/>
    <w:rsid w:val="24EC48E8"/>
    <w:rsid w:val="24F7269B"/>
    <w:rsid w:val="25231760"/>
    <w:rsid w:val="252B2C06"/>
    <w:rsid w:val="252B33E9"/>
    <w:rsid w:val="2531518D"/>
    <w:rsid w:val="25393A76"/>
    <w:rsid w:val="254F474B"/>
    <w:rsid w:val="25535057"/>
    <w:rsid w:val="255D0693"/>
    <w:rsid w:val="255D2188"/>
    <w:rsid w:val="25634968"/>
    <w:rsid w:val="256B093E"/>
    <w:rsid w:val="258E7FD2"/>
    <w:rsid w:val="259300EE"/>
    <w:rsid w:val="25981F7F"/>
    <w:rsid w:val="25A3277A"/>
    <w:rsid w:val="25B60D6B"/>
    <w:rsid w:val="25CF12BD"/>
    <w:rsid w:val="25E54A2E"/>
    <w:rsid w:val="25E955EF"/>
    <w:rsid w:val="26044D2D"/>
    <w:rsid w:val="260C1425"/>
    <w:rsid w:val="262B1BF2"/>
    <w:rsid w:val="262D6138"/>
    <w:rsid w:val="262F1EA0"/>
    <w:rsid w:val="264732C7"/>
    <w:rsid w:val="266D2692"/>
    <w:rsid w:val="267B3C12"/>
    <w:rsid w:val="268634E7"/>
    <w:rsid w:val="26A2612A"/>
    <w:rsid w:val="26A45BFC"/>
    <w:rsid w:val="26A65AB3"/>
    <w:rsid w:val="26AF54FC"/>
    <w:rsid w:val="26B8303F"/>
    <w:rsid w:val="26C64476"/>
    <w:rsid w:val="26D05F36"/>
    <w:rsid w:val="26D62C4F"/>
    <w:rsid w:val="26DF1BCA"/>
    <w:rsid w:val="26E0668E"/>
    <w:rsid w:val="26EA42FB"/>
    <w:rsid w:val="26EE4DA6"/>
    <w:rsid w:val="27142455"/>
    <w:rsid w:val="274C040D"/>
    <w:rsid w:val="27514D1F"/>
    <w:rsid w:val="275C4C11"/>
    <w:rsid w:val="27782921"/>
    <w:rsid w:val="278C56A8"/>
    <w:rsid w:val="27934B2A"/>
    <w:rsid w:val="27A341B6"/>
    <w:rsid w:val="27B14384"/>
    <w:rsid w:val="27D31889"/>
    <w:rsid w:val="27D700F0"/>
    <w:rsid w:val="27DA6CAC"/>
    <w:rsid w:val="27E83FB0"/>
    <w:rsid w:val="27EA1963"/>
    <w:rsid w:val="27EC45AB"/>
    <w:rsid w:val="27F45352"/>
    <w:rsid w:val="27FD16FD"/>
    <w:rsid w:val="280E3DC0"/>
    <w:rsid w:val="281B32BC"/>
    <w:rsid w:val="282D7B92"/>
    <w:rsid w:val="2837627F"/>
    <w:rsid w:val="286429ED"/>
    <w:rsid w:val="28671258"/>
    <w:rsid w:val="287E2398"/>
    <w:rsid w:val="289F41AE"/>
    <w:rsid w:val="28A25E8C"/>
    <w:rsid w:val="28A667A7"/>
    <w:rsid w:val="28CB5167"/>
    <w:rsid w:val="28D21984"/>
    <w:rsid w:val="28E918B9"/>
    <w:rsid w:val="28F14621"/>
    <w:rsid w:val="28F7487D"/>
    <w:rsid w:val="28FE15EE"/>
    <w:rsid w:val="291A19D1"/>
    <w:rsid w:val="29305DCA"/>
    <w:rsid w:val="293B0261"/>
    <w:rsid w:val="293F6A2D"/>
    <w:rsid w:val="29407C56"/>
    <w:rsid w:val="295E42C4"/>
    <w:rsid w:val="29737651"/>
    <w:rsid w:val="297E0EEA"/>
    <w:rsid w:val="29865595"/>
    <w:rsid w:val="298D215A"/>
    <w:rsid w:val="29B02899"/>
    <w:rsid w:val="29B25A32"/>
    <w:rsid w:val="29B63819"/>
    <w:rsid w:val="29C23EBD"/>
    <w:rsid w:val="29D32D5D"/>
    <w:rsid w:val="2A090D45"/>
    <w:rsid w:val="2A12308D"/>
    <w:rsid w:val="2A416D7E"/>
    <w:rsid w:val="2A492B07"/>
    <w:rsid w:val="2A51661C"/>
    <w:rsid w:val="2A59523C"/>
    <w:rsid w:val="2A5C418F"/>
    <w:rsid w:val="2A732692"/>
    <w:rsid w:val="2A912E93"/>
    <w:rsid w:val="2AA94762"/>
    <w:rsid w:val="2AB068E4"/>
    <w:rsid w:val="2AB33C7E"/>
    <w:rsid w:val="2AC22C9B"/>
    <w:rsid w:val="2AC54255"/>
    <w:rsid w:val="2AE023F9"/>
    <w:rsid w:val="2AE2435E"/>
    <w:rsid w:val="2AE374EE"/>
    <w:rsid w:val="2AED5C46"/>
    <w:rsid w:val="2AF304E8"/>
    <w:rsid w:val="2B010079"/>
    <w:rsid w:val="2B087E46"/>
    <w:rsid w:val="2B1F45F9"/>
    <w:rsid w:val="2B214E9A"/>
    <w:rsid w:val="2B2A696B"/>
    <w:rsid w:val="2B352CDD"/>
    <w:rsid w:val="2B473D0E"/>
    <w:rsid w:val="2B487EB2"/>
    <w:rsid w:val="2B497364"/>
    <w:rsid w:val="2B4B2F0F"/>
    <w:rsid w:val="2B547359"/>
    <w:rsid w:val="2B703A7E"/>
    <w:rsid w:val="2B9B17D2"/>
    <w:rsid w:val="2BA6086A"/>
    <w:rsid w:val="2BB4057B"/>
    <w:rsid w:val="2BC10A83"/>
    <w:rsid w:val="2BCF5978"/>
    <w:rsid w:val="2BE2186A"/>
    <w:rsid w:val="2BF1064E"/>
    <w:rsid w:val="2C14670E"/>
    <w:rsid w:val="2C1A02E9"/>
    <w:rsid w:val="2C1A17B5"/>
    <w:rsid w:val="2C2C6580"/>
    <w:rsid w:val="2C3E532D"/>
    <w:rsid w:val="2C400367"/>
    <w:rsid w:val="2C52760F"/>
    <w:rsid w:val="2C55237F"/>
    <w:rsid w:val="2C601B36"/>
    <w:rsid w:val="2C7066B3"/>
    <w:rsid w:val="2C84442D"/>
    <w:rsid w:val="2C855A5D"/>
    <w:rsid w:val="2C981870"/>
    <w:rsid w:val="2C99248F"/>
    <w:rsid w:val="2CB1087D"/>
    <w:rsid w:val="2CB33A5D"/>
    <w:rsid w:val="2CBC36CA"/>
    <w:rsid w:val="2CBD04BE"/>
    <w:rsid w:val="2CC50ED2"/>
    <w:rsid w:val="2CCC501F"/>
    <w:rsid w:val="2CDD659C"/>
    <w:rsid w:val="2CE61869"/>
    <w:rsid w:val="2CF14361"/>
    <w:rsid w:val="2CF3754E"/>
    <w:rsid w:val="2CFA69A0"/>
    <w:rsid w:val="2D13012C"/>
    <w:rsid w:val="2D227A32"/>
    <w:rsid w:val="2D282693"/>
    <w:rsid w:val="2D3F271E"/>
    <w:rsid w:val="2D59608A"/>
    <w:rsid w:val="2D66512F"/>
    <w:rsid w:val="2D753F1F"/>
    <w:rsid w:val="2D851792"/>
    <w:rsid w:val="2D8A19E2"/>
    <w:rsid w:val="2D8B5C45"/>
    <w:rsid w:val="2D9F1229"/>
    <w:rsid w:val="2DA57A93"/>
    <w:rsid w:val="2DAA224B"/>
    <w:rsid w:val="2DDF6573"/>
    <w:rsid w:val="2DE77BCB"/>
    <w:rsid w:val="2DEE1D9E"/>
    <w:rsid w:val="2DF36E83"/>
    <w:rsid w:val="2DFF6C9A"/>
    <w:rsid w:val="2E0505A3"/>
    <w:rsid w:val="2E0B0E09"/>
    <w:rsid w:val="2E0F6585"/>
    <w:rsid w:val="2E1557E5"/>
    <w:rsid w:val="2E2802E8"/>
    <w:rsid w:val="2E3D671B"/>
    <w:rsid w:val="2E4643A4"/>
    <w:rsid w:val="2E483A6C"/>
    <w:rsid w:val="2E67660C"/>
    <w:rsid w:val="2E7424C5"/>
    <w:rsid w:val="2E77387F"/>
    <w:rsid w:val="2E7D7C7C"/>
    <w:rsid w:val="2E9927B2"/>
    <w:rsid w:val="2E9F637B"/>
    <w:rsid w:val="2EBC7AA0"/>
    <w:rsid w:val="2ECE2CD4"/>
    <w:rsid w:val="2EE87BE8"/>
    <w:rsid w:val="2EEA62BA"/>
    <w:rsid w:val="2EFE22E0"/>
    <w:rsid w:val="2F0A6892"/>
    <w:rsid w:val="2F151F58"/>
    <w:rsid w:val="2F2B68EB"/>
    <w:rsid w:val="2F54087E"/>
    <w:rsid w:val="2F5B52BC"/>
    <w:rsid w:val="2F8F6BEF"/>
    <w:rsid w:val="2F9574D4"/>
    <w:rsid w:val="2FA44E82"/>
    <w:rsid w:val="2FA93EC2"/>
    <w:rsid w:val="2FB902E4"/>
    <w:rsid w:val="2FC120AB"/>
    <w:rsid w:val="2FC855BD"/>
    <w:rsid w:val="2FCE69D5"/>
    <w:rsid w:val="2FDC5A88"/>
    <w:rsid w:val="301E78A4"/>
    <w:rsid w:val="30283A68"/>
    <w:rsid w:val="30341FA7"/>
    <w:rsid w:val="303A1912"/>
    <w:rsid w:val="303D0800"/>
    <w:rsid w:val="30646A1A"/>
    <w:rsid w:val="306F2D4F"/>
    <w:rsid w:val="30824B65"/>
    <w:rsid w:val="308838D3"/>
    <w:rsid w:val="30896863"/>
    <w:rsid w:val="30970E41"/>
    <w:rsid w:val="309716D4"/>
    <w:rsid w:val="30AD20D0"/>
    <w:rsid w:val="30CF64F6"/>
    <w:rsid w:val="30E348F3"/>
    <w:rsid w:val="31196B67"/>
    <w:rsid w:val="312D25FD"/>
    <w:rsid w:val="313E2F15"/>
    <w:rsid w:val="31426378"/>
    <w:rsid w:val="31427D47"/>
    <w:rsid w:val="31467A65"/>
    <w:rsid w:val="31644ACA"/>
    <w:rsid w:val="316C707F"/>
    <w:rsid w:val="31707F46"/>
    <w:rsid w:val="3171064E"/>
    <w:rsid w:val="317B6350"/>
    <w:rsid w:val="31811337"/>
    <w:rsid w:val="31934A38"/>
    <w:rsid w:val="319511C6"/>
    <w:rsid w:val="319562C6"/>
    <w:rsid w:val="31AB1FE6"/>
    <w:rsid w:val="31B00ED8"/>
    <w:rsid w:val="31B973E6"/>
    <w:rsid w:val="31C2774C"/>
    <w:rsid w:val="31C906BD"/>
    <w:rsid w:val="31E54FE0"/>
    <w:rsid w:val="320A1DF9"/>
    <w:rsid w:val="32255875"/>
    <w:rsid w:val="322D5461"/>
    <w:rsid w:val="323C4C71"/>
    <w:rsid w:val="32561D21"/>
    <w:rsid w:val="326A0390"/>
    <w:rsid w:val="32720540"/>
    <w:rsid w:val="32C409DC"/>
    <w:rsid w:val="32C97CFE"/>
    <w:rsid w:val="32DF6889"/>
    <w:rsid w:val="32EF0C41"/>
    <w:rsid w:val="32F42AD2"/>
    <w:rsid w:val="331205E0"/>
    <w:rsid w:val="331D650A"/>
    <w:rsid w:val="33307199"/>
    <w:rsid w:val="334666AA"/>
    <w:rsid w:val="334A444E"/>
    <w:rsid w:val="3356687F"/>
    <w:rsid w:val="337A0319"/>
    <w:rsid w:val="337A253B"/>
    <w:rsid w:val="33B33D11"/>
    <w:rsid w:val="33BA0F0E"/>
    <w:rsid w:val="33DF4F83"/>
    <w:rsid w:val="33E86B70"/>
    <w:rsid w:val="33F35448"/>
    <w:rsid w:val="34181DCA"/>
    <w:rsid w:val="34190D62"/>
    <w:rsid w:val="341C00B9"/>
    <w:rsid w:val="342C3160"/>
    <w:rsid w:val="342D0CE4"/>
    <w:rsid w:val="34381EAF"/>
    <w:rsid w:val="34392626"/>
    <w:rsid w:val="34435064"/>
    <w:rsid w:val="34641EC0"/>
    <w:rsid w:val="34696727"/>
    <w:rsid w:val="34D60B9F"/>
    <w:rsid w:val="34D74660"/>
    <w:rsid w:val="34EA57D5"/>
    <w:rsid w:val="34F47625"/>
    <w:rsid w:val="351C43FF"/>
    <w:rsid w:val="353F0D0C"/>
    <w:rsid w:val="35517DCC"/>
    <w:rsid w:val="355C3F52"/>
    <w:rsid w:val="35660699"/>
    <w:rsid w:val="358A7476"/>
    <w:rsid w:val="358C17E0"/>
    <w:rsid w:val="35B13242"/>
    <w:rsid w:val="35BC5BB5"/>
    <w:rsid w:val="35D574C1"/>
    <w:rsid w:val="35D76E2C"/>
    <w:rsid w:val="35EA3665"/>
    <w:rsid w:val="35EB39D9"/>
    <w:rsid w:val="35EB52F7"/>
    <w:rsid w:val="35ED00FB"/>
    <w:rsid w:val="35F542E9"/>
    <w:rsid w:val="35F87610"/>
    <w:rsid w:val="36125453"/>
    <w:rsid w:val="363D48F8"/>
    <w:rsid w:val="364745EB"/>
    <w:rsid w:val="36801914"/>
    <w:rsid w:val="36896AE3"/>
    <w:rsid w:val="368B06DD"/>
    <w:rsid w:val="36A443AD"/>
    <w:rsid w:val="36A751ED"/>
    <w:rsid w:val="36B973B8"/>
    <w:rsid w:val="36CB1188"/>
    <w:rsid w:val="36CD7A4E"/>
    <w:rsid w:val="36D53B0D"/>
    <w:rsid w:val="36DA54B1"/>
    <w:rsid w:val="36DA7A40"/>
    <w:rsid w:val="36DD506A"/>
    <w:rsid w:val="36DF5E98"/>
    <w:rsid w:val="36E16EFC"/>
    <w:rsid w:val="36E46356"/>
    <w:rsid w:val="36FF2BD3"/>
    <w:rsid w:val="3700267A"/>
    <w:rsid w:val="37051251"/>
    <w:rsid w:val="370E1C97"/>
    <w:rsid w:val="371631F9"/>
    <w:rsid w:val="37184091"/>
    <w:rsid w:val="371945A7"/>
    <w:rsid w:val="37201150"/>
    <w:rsid w:val="37320976"/>
    <w:rsid w:val="3747682E"/>
    <w:rsid w:val="37555800"/>
    <w:rsid w:val="37583FAB"/>
    <w:rsid w:val="37602347"/>
    <w:rsid w:val="376C0664"/>
    <w:rsid w:val="378E2707"/>
    <w:rsid w:val="37A5467A"/>
    <w:rsid w:val="37A91F53"/>
    <w:rsid w:val="37C05223"/>
    <w:rsid w:val="37D2352E"/>
    <w:rsid w:val="37DB65D0"/>
    <w:rsid w:val="37DD61DE"/>
    <w:rsid w:val="37DE3412"/>
    <w:rsid w:val="37DF60C6"/>
    <w:rsid w:val="37E03B2A"/>
    <w:rsid w:val="37EF7F91"/>
    <w:rsid w:val="37FE76ED"/>
    <w:rsid w:val="381114AB"/>
    <w:rsid w:val="381B32EC"/>
    <w:rsid w:val="381B55FE"/>
    <w:rsid w:val="381E6147"/>
    <w:rsid w:val="38356186"/>
    <w:rsid w:val="38484307"/>
    <w:rsid w:val="38504E6E"/>
    <w:rsid w:val="385806FB"/>
    <w:rsid w:val="386D421F"/>
    <w:rsid w:val="38832D06"/>
    <w:rsid w:val="389F4503"/>
    <w:rsid w:val="38B605FB"/>
    <w:rsid w:val="38B83261"/>
    <w:rsid w:val="38BD6437"/>
    <w:rsid w:val="38CB6F31"/>
    <w:rsid w:val="38CC2F44"/>
    <w:rsid w:val="38D53A13"/>
    <w:rsid w:val="38D71ED6"/>
    <w:rsid w:val="38D85E3D"/>
    <w:rsid w:val="38E37089"/>
    <w:rsid w:val="38E5634E"/>
    <w:rsid w:val="38ED31B6"/>
    <w:rsid w:val="38EF2C2B"/>
    <w:rsid w:val="390729DB"/>
    <w:rsid w:val="390C7193"/>
    <w:rsid w:val="391B5090"/>
    <w:rsid w:val="39232934"/>
    <w:rsid w:val="392E1E51"/>
    <w:rsid w:val="39314F0D"/>
    <w:rsid w:val="39422612"/>
    <w:rsid w:val="39442039"/>
    <w:rsid w:val="394D0D6A"/>
    <w:rsid w:val="394F55F9"/>
    <w:rsid w:val="39686016"/>
    <w:rsid w:val="397457C1"/>
    <w:rsid w:val="39780F9D"/>
    <w:rsid w:val="39781659"/>
    <w:rsid w:val="398154A5"/>
    <w:rsid w:val="39A75B59"/>
    <w:rsid w:val="39AA370D"/>
    <w:rsid w:val="39BB6452"/>
    <w:rsid w:val="39CA259F"/>
    <w:rsid w:val="39CB426A"/>
    <w:rsid w:val="39CD0EA0"/>
    <w:rsid w:val="39CE5728"/>
    <w:rsid w:val="39D55FD7"/>
    <w:rsid w:val="39E772BE"/>
    <w:rsid w:val="39E824C9"/>
    <w:rsid w:val="39F77939"/>
    <w:rsid w:val="3A0D014B"/>
    <w:rsid w:val="3A3138AE"/>
    <w:rsid w:val="3A64573E"/>
    <w:rsid w:val="3A775BF1"/>
    <w:rsid w:val="3A843771"/>
    <w:rsid w:val="3A9509BD"/>
    <w:rsid w:val="3A9829AB"/>
    <w:rsid w:val="3A9A16FC"/>
    <w:rsid w:val="3AA07860"/>
    <w:rsid w:val="3AA4313B"/>
    <w:rsid w:val="3AA65941"/>
    <w:rsid w:val="3AB111AD"/>
    <w:rsid w:val="3AC45C43"/>
    <w:rsid w:val="3AC665DD"/>
    <w:rsid w:val="3ACC004A"/>
    <w:rsid w:val="3AD2797B"/>
    <w:rsid w:val="3AD41063"/>
    <w:rsid w:val="3AD43842"/>
    <w:rsid w:val="3ADC34C4"/>
    <w:rsid w:val="3AED45BE"/>
    <w:rsid w:val="3AF735D5"/>
    <w:rsid w:val="3AFB64F4"/>
    <w:rsid w:val="3B005E3F"/>
    <w:rsid w:val="3B0B1064"/>
    <w:rsid w:val="3B1350A7"/>
    <w:rsid w:val="3B2C4341"/>
    <w:rsid w:val="3B3258DA"/>
    <w:rsid w:val="3B4B204B"/>
    <w:rsid w:val="3B4F69C0"/>
    <w:rsid w:val="3B7317CD"/>
    <w:rsid w:val="3B750018"/>
    <w:rsid w:val="3BBB2CAC"/>
    <w:rsid w:val="3BC424AF"/>
    <w:rsid w:val="3BC50203"/>
    <w:rsid w:val="3BDE4378"/>
    <w:rsid w:val="3BF7526B"/>
    <w:rsid w:val="3C00036C"/>
    <w:rsid w:val="3C07445D"/>
    <w:rsid w:val="3C1007BF"/>
    <w:rsid w:val="3C1456EE"/>
    <w:rsid w:val="3C2771E0"/>
    <w:rsid w:val="3C280F96"/>
    <w:rsid w:val="3C3026B1"/>
    <w:rsid w:val="3C415B37"/>
    <w:rsid w:val="3C635631"/>
    <w:rsid w:val="3C662563"/>
    <w:rsid w:val="3C6B7226"/>
    <w:rsid w:val="3C6C3377"/>
    <w:rsid w:val="3C7935E0"/>
    <w:rsid w:val="3C8B420C"/>
    <w:rsid w:val="3CA268F7"/>
    <w:rsid w:val="3CA860B7"/>
    <w:rsid w:val="3CAB7E46"/>
    <w:rsid w:val="3CAD3AD4"/>
    <w:rsid w:val="3CBF3610"/>
    <w:rsid w:val="3CBF4FFA"/>
    <w:rsid w:val="3CD4267D"/>
    <w:rsid w:val="3CE511DD"/>
    <w:rsid w:val="3CFF13A7"/>
    <w:rsid w:val="3D1C374A"/>
    <w:rsid w:val="3D262942"/>
    <w:rsid w:val="3D2F4E8F"/>
    <w:rsid w:val="3D40161F"/>
    <w:rsid w:val="3D52444A"/>
    <w:rsid w:val="3D607864"/>
    <w:rsid w:val="3D6E3064"/>
    <w:rsid w:val="3D73212F"/>
    <w:rsid w:val="3D756702"/>
    <w:rsid w:val="3D9907AA"/>
    <w:rsid w:val="3DA823E6"/>
    <w:rsid w:val="3DAA5955"/>
    <w:rsid w:val="3DAF2619"/>
    <w:rsid w:val="3DB1392F"/>
    <w:rsid w:val="3DCA0A94"/>
    <w:rsid w:val="3DFB763F"/>
    <w:rsid w:val="3E1E5D13"/>
    <w:rsid w:val="3E2134F6"/>
    <w:rsid w:val="3E2D0240"/>
    <w:rsid w:val="3E3C0102"/>
    <w:rsid w:val="3E4A3D06"/>
    <w:rsid w:val="3E550F6D"/>
    <w:rsid w:val="3E5C2BA7"/>
    <w:rsid w:val="3E652DE4"/>
    <w:rsid w:val="3E6D384A"/>
    <w:rsid w:val="3E7F0E04"/>
    <w:rsid w:val="3E8C3DC9"/>
    <w:rsid w:val="3E983A19"/>
    <w:rsid w:val="3EA42373"/>
    <w:rsid w:val="3EAB6017"/>
    <w:rsid w:val="3EAB6DE1"/>
    <w:rsid w:val="3EB04274"/>
    <w:rsid w:val="3EBF4DD6"/>
    <w:rsid w:val="3EC169F3"/>
    <w:rsid w:val="3EF35AF5"/>
    <w:rsid w:val="3EFA10C6"/>
    <w:rsid w:val="3F053FEF"/>
    <w:rsid w:val="3F072FDD"/>
    <w:rsid w:val="3F087A02"/>
    <w:rsid w:val="3F1505A5"/>
    <w:rsid w:val="3F2E2D7E"/>
    <w:rsid w:val="3F2F3D01"/>
    <w:rsid w:val="3F30326E"/>
    <w:rsid w:val="3F312FBF"/>
    <w:rsid w:val="3F38148D"/>
    <w:rsid w:val="3F3862B1"/>
    <w:rsid w:val="3F4B4569"/>
    <w:rsid w:val="3F553EDA"/>
    <w:rsid w:val="3F5877ED"/>
    <w:rsid w:val="3F746F8B"/>
    <w:rsid w:val="3F770B78"/>
    <w:rsid w:val="3F870A94"/>
    <w:rsid w:val="3F9401DF"/>
    <w:rsid w:val="3F982E1E"/>
    <w:rsid w:val="3F9B671E"/>
    <w:rsid w:val="3FA26B4C"/>
    <w:rsid w:val="3FAE3259"/>
    <w:rsid w:val="3FB95CFF"/>
    <w:rsid w:val="3FCD29E6"/>
    <w:rsid w:val="3FDE20C9"/>
    <w:rsid w:val="3FEA0B7D"/>
    <w:rsid w:val="3FF8666C"/>
    <w:rsid w:val="40015952"/>
    <w:rsid w:val="400D1371"/>
    <w:rsid w:val="401A0FC3"/>
    <w:rsid w:val="40281F2D"/>
    <w:rsid w:val="40311BC0"/>
    <w:rsid w:val="40520311"/>
    <w:rsid w:val="4058424F"/>
    <w:rsid w:val="405C309E"/>
    <w:rsid w:val="406072EB"/>
    <w:rsid w:val="406A281C"/>
    <w:rsid w:val="407078E8"/>
    <w:rsid w:val="407444C7"/>
    <w:rsid w:val="40860C2B"/>
    <w:rsid w:val="409C3659"/>
    <w:rsid w:val="409D3064"/>
    <w:rsid w:val="40B75A3F"/>
    <w:rsid w:val="40EC44C9"/>
    <w:rsid w:val="41173B7D"/>
    <w:rsid w:val="412E4038"/>
    <w:rsid w:val="41527FA7"/>
    <w:rsid w:val="415F71BB"/>
    <w:rsid w:val="41624E40"/>
    <w:rsid w:val="4163010D"/>
    <w:rsid w:val="41632667"/>
    <w:rsid w:val="41791335"/>
    <w:rsid w:val="417E6736"/>
    <w:rsid w:val="41824C13"/>
    <w:rsid w:val="418751CF"/>
    <w:rsid w:val="41921DEF"/>
    <w:rsid w:val="41953688"/>
    <w:rsid w:val="41A1492E"/>
    <w:rsid w:val="41AA38CC"/>
    <w:rsid w:val="41AD425F"/>
    <w:rsid w:val="41D129BB"/>
    <w:rsid w:val="41DA56DF"/>
    <w:rsid w:val="41DF1E0C"/>
    <w:rsid w:val="42007584"/>
    <w:rsid w:val="42016DFB"/>
    <w:rsid w:val="420A72DC"/>
    <w:rsid w:val="421205A0"/>
    <w:rsid w:val="42166D51"/>
    <w:rsid w:val="422B3FD0"/>
    <w:rsid w:val="42306E9B"/>
    <w:rsid w:val="423B0B87"/>
    <w:rsid w:val="424A0274"/>
    <w:rsid w:val="424B334A"/>
    <w:rsid w:val="42506344"/>
    <w:rsid w:val="4256226E"/>
    <w:rsid w:val="42641C3B"/>
    <w:rsid w:val="42712B73"/>
    <w:rsid w:val="427157E6"/>
    <w:rsid w:val="42BF4BE4"/>
    <w:rsid w:val="42DA6708"/>
    <w:rsid w:val="42EA0D4A"/>
    <w:rsid w:val="42F364AF"/>
    <w:rsid w:val="42F605AB"/>
    <w:rsid w:val="42F80377"/>
    <w:rsid w:val="430242A9"/>
    <w:rsid w:val="430D6367"/>
    <w:rsid w:val="4336054A"/>
    <w:rsid w:val="433652BE"/>
    <w:rsid w:val="433654BD"/>
    <w:rsid w:val="43402791"/>
    <w:rsid w:val="4347655B"/>
    <w:rsid w:val="434C5E20"/>
    <w:rsid w:val="43572FAB"/>
    <w:rsid w:val="435B0796"/>
    <w:rsid w:val="43671036"/>
    <w:rsid w:val="437061CF"/>
    <w:rsid w:val="4386358C"/>
    <w:rsid w:val="439879B2"/>
    <w:rsid w:val="43A86271"/>
    <w:rsid w:val="43AF19C8"/>
    <w:rsid w:val="43AF1EF9"/>
    <w:rsid w:val="43C620B4"/>
    <w:rsid w:val="43E758BF"/>
    <w:rsid w:val="44024FA2"/>
    <w:rsid w:val="44073178"/>
    <w:rsid w:val="443246D8"/>
    <w:rsid w:val="444A5AFB"/>
    <w:rsid w:val="445325AC"/>
    <w:rsid w:val="44780C31"/>
    <w:rsid w:val="44882021"/>
    <w:rsid w:val="448B255D"/>
    <w:rsid w:val="449D7FE0"/>
    <w:rsid w:val="449F118E"/>
    <w:rsid w:val="44A5019F"/>
    <w:rsid w:val="44B83803"/>
    <w:rsid w:val="44E438F2"/>
    <w:rsid w:val="45014963"/>
    <w:rsid w:val="450A176B"/>
    <w:rsid w:val="45134865"/>
    <w:rsid w:val="45152D86"/>
    <w:rsid w:val="452A4357"/>
    <w:rsid w:val="453C2175"/>
    <w:rsid w:val="45791B17"/>
    <w:rsid w:val="45812E3B"/>
    <w:rsid w:val="4587689C"/>
    <w:rsid w:val="459A4106"/>
    <w:rsid w:val="45BB7F1C"/>
    <w:rsid w:val="45C278A1"/>
    <w:rsid w:val="45C53B24"/>
    <w:rsid w:val="45C90E10"/>
    <w:rsid w:val="45DE2B22"/>
    <w:rsid w:val="45DF4F9E"/>
    <w:rsid w:val="461C01B7"/>
    <w:rsid w:val="46373DD2"/>
    <w:rsid w:val="463C406B"/>
    <w:rsid w:val="46424A70"/>
    <w:rsid w:val="464A2F02"/>
    <w:rsid w:val="464E5FC4"/>
    <w:rsid w:val="46652344"/>
    <w:rsid w:val="466961BA"/>
    <w:rsid w:val="467D372D"/>
    <w:rsid w:val="46983F5A"/>
    <w:rsid w:val="46AB52CA"/>
    <w:rsid w:val="46AF6BF8"/>
    <w:rsid w:val="46C13BE0"/>
    <w:rsid w:val="46C927A4"/>
    <w:rsid w:val="46EB174E"/>
    <w:rsid w:val="4709686E"/>
    <w:rsid w:val="472450A0"/>
    <w:rsid w:val="472569A9"/>
    <w:rsid w:val="472710FE"/>
    <w:rsid w:val="47334B54"/>
    <w:rsid w:val="474C730D"/>
    <w:rsid w:val="47784964"/>
    <w:rsid w:val="477B71F5"/>
    <w:rsid w:val="4786218A"/>
    <w:rsid w:val="479B517E"/>
    <w:rsid w:val="47A35B59"/>
    <w:rsid w:val="47AA27CF"/>
    <w:rsid w:val="47B4260D"/>
    <w:rsid w:val="47D00480"/>
    <w:rsid w:val="47E15594"/>
    <w:rsid w:val="47E93632"/>
    <w:rsid w:val="47F57437"/>
    <w:rsid w:val="48000AB6"/>
    <w:rsid w:val="480B55AF"/>
    <w:rsid w:val="480C70AF"/>
    <w:rsid w:val="48306D38"/>
    <w:rsid w:val="4831485C"/>
    <w:rsid w:val="483D6FD4"/>
    <w:rsid w:val="48474BB6"/>
    <w:rsid w:val="485349A8"/>
    <w:rsid w:val="486B4E40"/>
    <w:rsid w:val="487002C4"/>
    <w:rsid w:val="48786D88"/>
    <w:rsid w:val="487D1F42"/>
    <w:rsid w:val="488149A1"/>
    <w:rsid w:val="48834BB3"/>
    <w:rsid w:val="48985DA2"/>
    <w:rsid w:val="489B34BF"/>
    <w:rsid w:val="48AD6627"/>
    <w:rsid w:val="48B07644"/>
    <w:rsid w:val="48B532AD"/>
    <w:rsid w:val="48B61DDE"/>
    <w:rsid w:val="48D84665"/>
    <w:rsid w:val="48DB04EA"/>
    <w:rsid w:val="48E06A66"/>
    <w:rsid w:val="48EB1CA7"/>
    <w:rsid w:val="48F70A79"/>
    <w:rsid w:val="48FB29D9"/>
    <w:rsid w:val="49026E5B"/>
    <w:rsid w:val="49123E67"/>
    <w:rsid w:val="492478CB"/>
    <w:rsid w:val="49256B25"/>
    <w:rsid w:val="49473DD5"/>
    <w:rsid w:val="495B31EE"/>
    <w:rsid w:val="496F2231"/>
    <w:rsid w:val="49BE0BC2"/>
    <w:rsid w:val="49BE163E"/>
    <w:rsid w:val="49C44F48"/>
    <w:rsid w:val="49CB49F0"/>
    <w:rsid w:val="49CD67BC"/>
    <w:rsid w:val="49E23F40"/>
    <w:rsid w:val="4A1239D3"/>
    <w:rsid w:val="4A1F5A9F"/>
    <w:rsid w:val="4A336659"/>
    <w:rsid w:val="4A5B4B14"/>
    <w:rsid w:val="4A787075"/>
    <w:rsid w:val="4A8541EB"/>
    <w:rsid w:val="4AB732C7"/>
    <w:rsid w:val="4AD05D5E"/>
    <w:rsid w:val="4ADF3FDF"/>
    <w:rsid w:val="4AEC4B6A"/>
    <w:rsid w:val="4B07366C"/>
    <w:rsid w:val="4B142662"/>
    <w:rsid w:val="4B54446D"/>
    <w:rsid w:val="4B5A19FA"/>
    <w:rsid w:val="4B694968"/>
    <w:rsid w:val="4B696B7D"/>
    <w:rsid w:val="4B96376F"/>
    <w:rsid w:val="4B963A28"/>
    <w:rsid w:val="4BE565A9"/>
    <w:rsid w:val="4C033F0C"/>
    <w:rsid w:val="4C051EDA"/>
    <w:rsid w:val="4C27414C"/>
    <w:rsid w:val="4C2E2DCC"/>
    <w:rsid w:val="4C3419F1"/>
    <w:rsid w:val="4C417DD9"/>
    <w:rsid w:val="4C43786A"/>
    <w:rsid w:val="4C542A55"/>
    <w:rsid w:val="4C552A6D"/>
    <w:rsid w:val="4C6D4CD3"/>
    <w:rsid w:val="4C7C0F5D"/>
    <w:rsid w:val="4C8E72AC"/>
    <w:rsid w:val="4CA63A84"/>
    <w:rsid w:val="4CA9633A"/>
    <w:rsid w:val="4CCC4729"/>
    <w:rsid w:val="4CEE6F11"/>
    <w:rsid w:val="4D012492"/>
    <w:rsid w:val="4D137234"/>
    <w:rsid w:val="4D1B4AC9"/>
    <w:rsid w:val="4D2931D4"/>
    <w:rsid w:val="4D3460D7"/>
    <w:rsid w:val="4D366DBA"/>
    <w:rsid w:val="4D3828AA"/>
    <w:rsid w:val="4D5D1440"/>
    <w:rsid w:val="4D654380"/>
    <w:rsid w:val="4D671B6E"/>
    <w:rsid w:val="4D7E2957"/>
    <w:rsid w:val="4D8F6EA2"/>
    <w:rsid w:val="4D996C87"/>
    <w:rsid w:val="4D9B3BBE"/>
    <w:rsid w:val="4DB37077"/>
    <w:rsid w:val="4DB67CBA"/>
    <w:rsid w:val="4DC32611"/>
    <w:rsid w:val="4DCC0C2D"/>
    <w:rsid w:val="4DCF07C4"/>
    <w:rsid w:val="4DD37A84"/>
    <w:rsid w:val="4DFC7B48"/>
    <w:rsid w:val="4E1E54D8"/>
    <w:rsid w:val="4E2A219D"/>
    <w:rsid w:val="4E3B7E63"/>
    <w:rsid w:val="4E4259D6"/>
    <w:rsid w:val="4E440BED"/>
    <w:rsid w:val="4E6152EF"/>
    <w:rsid w:val="4E6F1179"/>
    <w:rsid w:val="4E7F5C53"/>
    <w:rsid w:val="4E925368"/>
    <w:rsid w:val="4EA61CD1"/>
    <w:rsid w:val="4EB009BA"/>
    <w:rsid w:val="4EB70B53"/>
    <w:rsid w:val="4EDB10C6"/>
    <w:rsid w:val="4EF349C5"/>
    <w:rsid w:val="4EF94775"/>
    <w:rsid w:val="4F250107"/>
    <w:rsid w:val="4F2C1D5C"/>
    <w:rsid w:val="4F3E01D4"/>
    <w:rsid w:val="4F4A3E58"/>
    <w:rsid w:val="4F4E44C5"/>
    <w:rsid w:val="4F825472"/>
    <w:rsid w:val="4FA27E64"/>
    <w:rsid w:val="4FC647A8"/>
    <w:rsid w:val="4FEA6555"/>
    <w:rsid w:val="4FF03CBC"/>
    <w:rsid w:val="500E3E7C"/>
    <w:rsid w:val="501679FE"/>
    <w:rsid w:val="50251136"/>
    <w:rsid w:val="50280D47"/>
    <w:rsid w:val="503B1E55"/>
    <w:rsid w:val="504B7FFD"/>
    <w:rsid w:val="50565A98"/>
    <w:rsid w:val="505A6765"/>
    <w:rsid w:val="50626357"/>
    <w:rsid w:val="508113F1"/>
    <w:rsid w:val="50A81CB1"/>
    <w:rsid w:val="50AB3B3B"/>
    <w:rsid w:val="50AE7B41"/>
    <w:rsid w:val="50BA5972"/>
    <w:rsid w:val="50BE5A3A"/>
    <w:rsid w:val="50D36D31"/>
    <w:rsid w:val="5101309C"/>
    <w:rsid w:val="51096F83"/>
    <w:rsid w:val="512C1184"/>
    <w:rsid w:val="512C4938"/>
    <w:rsid w:val="513E5577"/>
    <w:rsid w:val="516C102A"/>
    <w:rsid w:val="516D7227"/>
    <w:rsid w:val="516E7B33"/>
    <w:rsid w:val="51BF201E"/>
    <w:rsid w:val="51D808C9"/>
    <w:rsid w:val="51E8531B"/>
    <w:rsid w:val="51F61CB6"/>
    <w:rsid w:val="51F86283"/>
    <w:rsid w:val="52006B7F"/>
    <w:rsid w:val="52073BE3"/>
    <w:rsid w:val="525D7D3A"/>
    <w:rsid w:val="5264276D"/>
    <w:rsid w:val="526B222D"/>
    <w:rsid w:val="527322B2"/>
    <w:rsid w:val="527A7E6F"/>
    <w:rsid w:val="52803AFB"/>
    <w:rsid w:val="528A6040"/>
    <w:rsid w:val="528D1515"/>
    <w:rsid w:val="52964DDF"/>
    <w:rsid w:val="529E4644"/>
    <w:rsid w:val="52A37294"/>
    <w:rsid w:val="52B5538C"/>
    <w:rsid w:val="52B6235C"/>
    <w:rsid w:val="52D32E8B"/>
    <w:rsid w:val="52DA6D20"/>
    <w:rsid w:val="52DF751E"/>
    <w:rsid w:val="52F41598"/>
    <w:rsid w:val="52F657AB"/>
    <w:rsid w:val="52F91C50"/>
    <w:rsid w:val="52FA6580"/>
    <w:rsid w:val="52FD4004"/>
    <w:rsid w:val="52FF019B"/>
    <w:rsid w:val="53014B2F"/>
    <w:rsid w:val="53146C12"/>
    <w:rsid w:val="532D40F2"/>
    <w:rsid w:val="53391230"/>
    <w:rsid w:val="53477AAA"/>
    <w:rsid w:val="53511B9C"/>
    <w:rsid w:val="53525C1A"/>
    <w:rsid w:val="535B2F36"/>
    <w:rsid w:val="53640D05"/>
    <w:rsid w:val="536D7704"/>
    <w:rsid w:val="53860DD4"/>
    <w:rsid w:val="53B142D0"/>
    <w:rsid w:val="53DA4558"/>
    <w:rsid w:val="53DE69E1"/>
    <w:rsid w:val="53EF4442"/>
    <w:rsid w:val="53F61C9D"/>
    <w:rsid w:val="53FC64F8"/>
    <w:rsid w:val="54136217"/>
    <w:rsid w:val="541701ED"/>
    <w:rsid w:val="544E6FCC"/>
    <w:rsid w:val="5464038D"/>
    <w:rsid w:val="54641E81"/>
    <w:rsid w:val="547D4806"/>
    <w:rsid w:val="54870304"/>
    <w:rsid w:val="54947065"/>
    <w:rsid w:val="549C2781"/>
    <w:rsid w:val="54A57E16"/>
    <w:rsid w:val="54B236BD"/>
    <w:rsid w:val="54B64E58"/>
    <w:rsid w:val="54CB2244"/>
    <w:rsid w:val="54D16A7A"/>
    <w:rsid w:val="54D17B83"/>
    <w:rsid w:val="54EC34CE"/>
    <w:rsid w:val="54F1546B"/>
    <w:rsid w:val="54FE6A42"/>
    <w:rsid w:val="55020318"/>
    <w:rsid w:val="55086BE4"/>
    <w:rsid w:val="55122CB5"/>
    <w:rsid w:val="551E1810"/>
    <w:rsid w:val="55285DA6"/>
    <w:rsid w:val="55306A65"/>
    <w:rsid w:val="5531569A"/>
    <w:rsid w:val="553C3924"/>
    <w:rsid w:val="55581360"/>
    <w:rsid w:val="557626EB"/>
    <w:rsid w:val="557A33B5"/>
    <w:rsid w:val="557F5540"/>
    <w:rsid w:val="558B0030"/>
    <w:rsid w:val="559C5597"/>
    <w:rsid w:val="55A83E68"/>
    <w:rsid w:val="55A94D71"/>
    <w:rsid w:val="55B24556"/>
    <w:rsid w:val="55C733B0"/>
    <w:rsid w:val="55CF572E"/>
    <w:rsid w:val="55D46C09"/>
    <w:rsid w:val="55D545A5"/>
    <w:rsid w:val="55D84432"/>
    <w:rsid w:val="55D92FF0"/>
    <w:rsid w:val="55E07B06"/>
    <w:rsid w:val="55FA759C"/>
    <w:rsid w:val="560A20C0"/>
    <w:rsid w:val="560B64AD"/>
    <w:rsid w:val="56143E5E"/>
    <w:rsid w:val="562539FC"/>
    <w:rsid w:val="563131FD"/>
    <w:rsid w:val="563B3244"/>
    <w:rsid w:val="56426101"/>
    <w:rsid w:val="566946E9"/>
    <w:rsid w:val="5675326D"/>
    <w:rsid w:val="56975A25"/>
    <w:rsid w:val="569A60DC"/>
    <w:rsid w:val="569D3F66"/>
    <w:rsid w:val="56A04C79"/>
    <w:rsid w:val="56A36945"/>
    <w:rsid w:val="56A52B97"/>
    <w:rsid w:val="56AC118B"/>
    <w:rsid w:val="56AC74FA"/>
    <w:rsid w:val="56C04854"/>
    <w:rsid w:val="56C345AE"/>
    <w:rsid w:val="56C72E6A"/>
    <w:rsid w:val="56EC09BB"/>
    <w:rsid w:val="56EC76BF"/>
    <w:rsid w:val="56F17571"/>
    <w:rsid w:val="56F61A5E"/>
    <w:rsid w:val="56FD7C35"/>
    <w:rsid w:val="57092554"/>
    <w:rsid w:val="57093997"/>
    <w:rsid w:val="57107964"/>
    <w:rsid w:val="5731335F"/>
    <w:rsid w:val="573D0813"/>
    <w:rsid w:val="57504770"/>
    <w:rsid w:val="575170A1"/>
    <w:rsid w:val="575A5524"/>
    <w:rsid w:val="576F3D33"/>
    <w:rsid w:val="577754DA"/>
    <w:rsid w:val="578A39BB"/>
    <w:rsid w:val="578E16D0"/>
    <w:rsid w:val="57A72BEC"/>
    <w:rsid w:val="57BC3DFE"/>
    <w:rsid w:val="57C62FDD"/>
    <w:rsid w:val="57F90EE0"/>
    <w:rsid w:val="57FC68AA"/>
    <w:rsid w:val="580950EA"/>
    <w:rsid w:val="580C1CE1"/>
    <w:rsid w:val="581A1C0C"/>
    <w:rsid w:val="584E5D32"/>
    <w:rsid w:val="585161F0"/>
    <w:rsid w:val="58623AA5"/>
    <w:rsid w:val="586B6246"/>
    <w:rsid w:val="586D7EB9"/>
    <w:rsid w:val="586E7986"/>
    <w:rsid w:val="58720C5F"/>
    <w:rsid w:val="58764A2D"/>
    <w:rsid w:val="588B2150"/>
    <w:rsid w:val="58926AB8"/>
    <w:rsid w:val="5896461A"/>
    <w:rsid w:val="589B121A"/>
    <w:rsid w:val="589F78F9"/>
    <w:rsid w:val="58A62A57"/>
    <w:rsid w:val="58B97F19"/>
    <w:rsid w:val="58BF7EC8"/>
    <w:rsid w:val="58C84038"/>
    <w:rsid w:val="58CC2041"/>
    <w:rsid w:val="58D24028"/>
    <w:rsid w:val="58D8017E"/>
    <w:rsid w:val="58EE33A8"/>
    <w:rsid w:val="58EF646E"/>
    <w:rsid w:val="58F010BB"/>
    <w:rsid w:val="58F10DEA"/>
    <w:rsid w:val="591B14D8"/>
    <w:rsid w:val="591E18B5"/>
    <w:rsid w:val="59283386"/>
    <w:rsid w:val="5934538C"/>
    <w:rsid w:val="5944184D"/>
    <w:rsid w:val="59454761"/>
    <w:rsid w:val="59497A2A"/>
    <w:rsid w:val="595A26EB"/>
    <w:rsid w:val="596C1051"/>
    <w:rsid w:val="596C44BE"/>
    <w:rsid w:val="59715516"/>
    <w:rsid w:val="59720455"/>
    <w:rsid w:val="5976640C"/>
    <w:rsid w:val="59796AC2"/>
    <w:rsid w:val="59850B5C"/>
    <w:rsid w:val="59A01619"/>
    <w:rsid w:val="59AE6EEF"/>
    <w:rsid w:val="59B14B0B"/>
    <w:rsid w:val="59B44717"/>
    <w:rsid w:val="59C233B3"/>
    <w:rsid w:val="59D472E1"/>
    <w:rsid w:val="59E21104"/>
    <w:rsid w:val="59E37B04"/>
    <w:rsid w:val="59ED3C66"/>
    <w:rsid w:val="59F46498"/>
    <w:rsid w:val="59FD3D95"/>
    <w:rsid w:val="5A02424B"/>
    <w:rsid w:val="5A052EA3"/>
    <w:rsid w:val="5A0A2B4F"/>
    <w:rsid w:val="5A2420A8"/>
    <w:rsid w:val="5A245D84"/>
    <w:rsid w:val="5A254C3E"/>
    <w:rsid w:val="5A25538F"/>
    <w:rsid w:val="5A344BD9"/>
    <w:rsid w:val="5A364476"/>
    <w:rsid w:val="5A385B85"/>
    <w:rsid w:val="5A431953"/>
    <w:rsid w:val="5A530E14"/>
    <w:rsid w:val="5A712A3C"/>
    <w:rsid w:val="5A790EDD"/>
    <w:rsid w:val="5A7938E1"/>
    <w:rsid w:val="5A7954BB"/>
    <w:rsid w:val="5A7F4F6B"/>
    <w:rsid w:val="5AB36A39"/>
    <w:rsid w:val="5AB667E6"/>
    <w:rsid w:val="5ABA5753"/>
    <w:rsid w:val="5ABB7A95"/>
    <w:rsid w:val="5ACD0861"/>
    <w:rsid w:val="5AD66F84"/>
    <w:rsid w:val="5AE84AFC"/>
    <w:rsid w:val="5AEF6E90"/>
    <w:rsid w:val="5B015E1F"/>
    <w:rsid w:val="5B077321"/>
    <w:rsid w:val="5B1F077A"/>
    <w:rsid w:val="5B285D8B"/>
    <w:rsid w:val="5B354CE9"/>
    <w:rsid w:val="5B37487A"/>
    <w:rsid w:val="5B5730C5"/>
    <w:rsid w:val="5B696C22"/>
    <w:rsid w:val="5B7D46BB"/>
    <w:rsid w:val="5B806F35"/>
    <w:rsid w:val="5B835FC6"/>
    <w:rsid w:val="5B8B25AF"/>
    <w:rsid w:val="5B953028"/>
    <w:rsid w:val="5BA169AB"/>
    <w:rsid w:val="5BA77C49"/>
    <w:rsid w:val="5BAA09FD"/>
    <w:rsid w:val="5BC758BE"/>
    <w:rsid w:val="5BCA3626"/>
    <w:rsid w:val="5BCC5C28"/>
    <w:rsid w:val="5BDE3C34"/>
    <w:rsid w:val="5BDE450D"/>
    <w:rsid w:val="5BE503F7"/>
    <w:rsid w:val="5BEA57BF"/>
    <w:rsid w:val="5BF621D3"/>
    <w:rsid w:val="5C00694F"/>
    <w:rsid w:val="5C2506BC"/>
    <w:rsid w:val="5C305416"/>
    <w:rsid w:val="5C3E6E0B"/>
    <w:rsid w:val="5C423022"/>
    <w:rsid w:val="5C4E1699"/>
    <w:rsid w:val="5C594F1F"/>
    <w:rsid w:val="5C6A320A"/>
    <w:rsid w:val="5C84158B"/>
    <w:rsid w:val="5C8C409E"/>
    <w:rsid w:val="5C8D12B7"/>
    <w:rsid w:val="5C972A7F"/>
    <w:rsid w:val="5C994F20"/>
    <w:rsid w:val="5C997D3D"/>
    <w:rsid w:val="5CBE5A33"/>
    <w:rsid w:val="5CC310BB"/>
    <w:rsid w:val="5CC34F66"/>
    <w:rsid w:val="5CC6707F"/>
    <w:rsid w:val="5CD47EF3"/>
    <w:rsid w:val="5CDD3CD2"/>
    <w:rsid w:val="5CE47C83"/>
    <w:rsid w:val="5CEA48ED"/>
    <w:rsid w:val="5CF42E78"/>
    <w:rsid w:val="5D0D1DF9"/>
    <w:rsid w:val="5D100737"/>
    <w:rsid w:val="5D1B1C82"/>
    <w:rsid w:val="5D1D1C6E"/>
    <w:rsid w:val="5D3A02CE"/>
    <w:rsid w:val="5D554BA2"/>
    <w:rsid w:val="5D57441E"/>
    <w:rsid w:val="5D5759D6"/>
    <w:rsid w:val="5D5E03E7"/>
    <w:rsid w:val="5D7E6435"/>
    <w:rsid w:val="5D8E31F5"/>
    <w:rsid w:val="5D9603AA"/>
    <w:rsid w:val="5DA308DC"/>
    <w:rsid w:val="5DA636DB"/>
    <w:rsid w:val="5DAF33E5"/>
    <w:rsid w:val="5DB30ADA"/>
    <w:rsid w:val="5DEA7F18"/>
    <w:rsid w:val="5E2024D5"/>
    <w:rsid w:val="5E2E3B2B"/>
    <w:rsid w:val="5E301F9D"/>
    <w:rsid w:val="5E430C3C"/>
    <w:rsid w:val="5E474A47"/>
    <w:rsid w:val="5E476FFD"/>
    <w:rsid w:val="5E4B3280"/>
    <w:rsid w:val="5E4E2679"/>
    <w:rsid w:val="5E62035A"/>
    <w:rsid w:val="5E837C2B"/>
    <w:rsid w:val="5EA21FE2"/>
    <w:rsid w:val="5EA90C48"/>
    <w:rsid w:val="5EB47F16"/>
    <w:rsid w:val="5EC00F5F"/>
    <w:rsid w:val="5EC315D5"/>
    <w:rsid w:val="5ECC76D4"/>
    <w:rsid w:val="5EDB6661"/>
    <w:rsid w:val="5EE018A6"/>
    <w:rsid w:val="5EE80A2A"/>
    <w:rsid w:val="5F004224"/>
    <w:rsid w:val="5F023C20"/>
    <w:rsid w:val="5F174CA8"/>
    <w:rsid w:val="5F2F4801"/>
    <w:rsid w:val="5F300EFB"/>
    <w:rsid w:val="5F343994"/>
    <w:rsid w:val="5F4D00A4"/>
    <w:rsid w:val="5F565C52"/>
    <w:rsid w:val="5F5F3310"/>
    <w:rsid w:val="5F6060F3"/>
    <w:rsid w:val="5F763EF3"/>
    <w:rsid w:val="5F7934A1"/>
    <w:rsid w:val="5F7D2AE0"/>
    <w:rsid w:val="5F984955"/>
    <w:rsid w:val="5FA5203F"/>
    <w:rsid w:val="5FA64B21"/>
    <w:rsid w:val="5FB07FD7"/>
    <w:rsid w:val="5FB42396"/>
    <w:rsid w:val="5FB70F75"/>
    <w:rsid w:val="5FBC286D"/>
    <w:rsid w:val="5FBF3BB5"/>
    <w:rsid w:val="5FC36EBF"/>
    <w:rsid w:val="5FC45465"/>
    <w:rsid w:val="5FE6389F"/>
    <w:rsid w:val="5FE92217"/>
    <w:rsid w:val="5FED1084"/>
    <w:rsid w:val="5FF21462"/>
    <w:rsid w:val="5FF71289"/>
    <w:rsid w:val="60152F84"/>
    <w:rsid w:val="6018073D"/>
    <w:rsid w:val="602856A8"/>
    <w:rsid w:val="60404403"/>
    <w:rsid w:val="60485131"/>
    <w:rsid w:val="605C0F42"/>
    <w:rsid w:val="605F7CF0"/>
    <w:rsid w:val="6068659C"/>
    <w:rsid w:val="60771069"/>
    <w:rsid w:val="60A060E2"/>
    <w:rsid w:val="60C25C5C"/>
    <w:rsid w:val="60CA2FFF"/>
    <w:rsid w:val="60D56A65"/>
    <w:rsid w:val="60FE56A3"/>
    <w:rsid w:val="610C00B5"/>
    <w:rsid w:val="61115052"/>
    <w:rsid w:val="61135AE5"/>
    <w:rsid w:val="61341F0D"/>
    <w:rsid w:val="61406C6C"/>
    <w:rsid w:val="614776DF"/>
    <w:rsid w:val="616D1BB7"/>
    <w:rsid w:val="618635AF"/>
    <w:rsid w:val="61895E9F"/>
    <w:rsid w:val="61964744"/>
    <w:rsid w:val="61A75FA0"/>
    <w:rsid w:val="61B1076A"/>
    <w:rsid w:val="61B93445"/>
    <w:rsid w:val="61BD3E28"/>
    <w:rsid w:val="61BE45B0"/>
    <w:rsid w:val="61C23FAF"/>
    <w:rsid w:val="61CD1C33"/>
    <w:rsid w:val="61CD4CBD"/>
    <w:rsid w:val="62017582"/>
    <w:rsid w:val="62122724"/>
    <w:rsid w:val="62172431"/>
    <w:rsid w:val="622118CF"/>
    <w:rsid w:val="62290ACC"/>
    <w:rsid w:val="622E06A9"/>
    <w:rsid w:val="62387175"/>
    <w:rsid w:val="62515BFA"/>
    <w:rsid w:val="62545414"/>
    <w:rsid w:val="625B7274"/>
    <w:rsid w:val="6262587A"/>
    <w:rsid w:val="626E6AF0"/>
    <w:rsid w:val="62830B87"/>
    <w:rsid w:val="628E2EB8"/>
    <w:rsid w:val="629A0767"/>
    <w:rsid w:val="629D3423"/>
    <w:rsid w:val="62A139D9"/>
    <w:rsid w:val="62D568D0"/>
    <w:rsid w:val="62E80599"/>
    <w:rsid w:val="62F643B6"/>
    <w:rsid w:val="63014E93"/>
    <w:rsid w:val="63086280"/>
    <w:rsid w:val="630F109E"/>
    <w:rsid w:val="6322286F"/>
    <w:rsid w:val="633034BC"/>
    <w:rsid w:val="63343D13"/>
    <w:rsid w:val="637A21E8"/>
    <w:rsid w:val="638E2188"/>
    <w:rsid w:val="638E6667"/>
    <w:rsid w:val="639D5EF4"/>
    <w:rsid w:val="63A92255"/>
    <w:rsid w:val="63BE6F6F"/>
    <w:rsid w:val="63C7260D"/>
    <w:rsid w:val="63FA25B7"/>
    <w:rsid w:val="640A564E"/>
    <w:rsid w:val="641A52E8"/>
    <w:rsid w:val="642B210A"/>
    <w:rsid w:val="6434334D"/>
    <w:rsid w:val="64457E45"/>
    <w:rsid w:val="64685EDC"/>
    <w:rsid w:val="647E2ADB"/>
    <w:rsid w:val="648765DC"/>
    <w:rsid w:val="648B368A"/>
    <w:rsid w:val="648F180A"/>
    <w:rsid w:val="649F01ED"/>
    <w:rsid w:val="64B9218E"/>
    <w:rsid w:val="64C3693C"/>
    <w:rsid w:val="64C50361"/>
    <w:rsid w:val="64C50D62"/>
    <w:rsid w:val="64C86E18"/>
    <w:rsid w:val="64DC6A92"/>
    <w:rsid w:val="64E364E8"/>
    <w:rsid w:val="64EC6CA9"/>
    <w:rsid w:val="64F02300"/>
    <w:rsid w:val="65077ECB"/>
    <w:rsid w:val="651B6231"/>
    <w:rsid w:val="651D287B"/>
    <w:rsid w:val="653D403F"/>
    <w:rsid w:val="65546527"/>
    <w:rsid w:val="65601D38"/>
    <w:rsid w:val="65802C71"/>
    <w:rsid w:val="658F7B21"/>
    <w:rsid w:val="65A52A48"/>
    <w:rsid w:val="65A73DF0"/>
    <w:rsid w:val="65A85D5A"/>
    <w:rsid w:val="65B402A0"/>
    <w:rsid w:val="65B55AEC"/>
    <w:rsid w:val="65C02CF0"/>
    <w:rsid w:val="65D232FF"/>
    <w:rsid w:val="65EC39C4"/>
    <w:rsid w:val="65F676AC"/>
    <w:rsid w:val="65FD789A"/>
    <w:rsid w:val="65FE564E"/>
    <w:rsid w:val="66263BB8"/>
    <w:rsid w:val="663C127E"/>
    <w:rsid w:val="66486ECB"/>
    <w:rsid w:val="664E436C"/>
    <w:rsid w:val="66705E8E"/>
    <w:rsid w:val="667D491F"/>
    <w:rsid w:val="669B4DF9"/>
    <w:rsid w:val="66A97282"/>
    <w:rsid w:val="66D37AA3"/>
    <w:rsid w:val="66E61864"/>
    <w:rsid w:val="66E7317A"/>
    <w:rsid w:val="66EA4812"/>
    <w:rsid w:val="66F83240"/>
    <w:rsid w:val="66FB01AE"/>
    <w:rsid w:val="670949A4"/>
    <w:rsid w:val="671B4490"/>
    <w:rsid w:val="67264CB3"/>
    <w:rsid w:val="6726773F"/>
    <w:rsid w:val="67287C3B"/>
    <w:rsid w:val="672C168B"/>
    <w:rsid w:val="67465EAF"/>
    <w:rsid w:val="674815A4"/>
    <w:rsid w:val="6760562A"/>
    <w:rsid w:val="67610ED8"/>
    <w:rsid w:val="676700AC"/>
    <w:rsid w:val="67687EC5"/>
    <w:rsid w:val="677549B6"/>
    <w:rsid w:val="677C64AD"/>
    <w:rsid w:val="6784308F"/>
    <w:rsid w:val="6785499D"/>
    <w:rsid w:val="679B32D0"/>
    <w:rsid w:val="67A03D51"/>
    <w:rsid w:val="67A03F8E"/>
    <w:rsid w:val="67B5273C"/>
    <w:rsid w:val="67BF3C15"/>
    <w:rsid w:val="67D06969"/>
    <w:rsid w:val="67D67651"/>
    <w:rsid w:val="68147B41"/>
    <w:rsid w:val="683E6EB0"/>
    <w:rsid w:val="683F63CF"/>
    <w:rsid w:val="684F3283"/>
    <w:rsid w:val="68797639"/>
    <w:rsid w:val="68864168"/>
    <w:rsid w:val="688C73BD"/>
    <w:rsid w:val="6891084F"/>
    <w:rsid w:val="689F2030"/>
    <w:rsid w:val="68A36C8B"/>
    <w:rsid w:val="68C95857"/>
    <w:rsid w:val="68CD238B"/>
    <w:rsid w:val="68CE32B3"/>
    <w:rsid w:val="68D04C94"/>
    <w:rsid w:val="68D06506"/>
    <w:rsid w:val="68D1370C"/>
    <w:rsid w:val="68DC55D0"/>
    <w:rsid w:val="68E01FE5"/>
    <w:rsid w:val="68E2112D"/>
    <w:rsid w:val="68ED42A1"/>
    <w:rsid w:val="69142D19"/>
    <w:rsid w:val="691A4A51"/>
    <w:rsid w:val="691F6664"/>
    <w:rsid w:val="692954C3"/>
    <w:rsid w:val="69325AD9"/>
    <w:rsid w:val="693D7EFA"/>
    <w:rsid w:val="694C3773"/>
    <w:rsid w:val="694F28A0"/>
    <w:rsid w:val="6954034B"/>
    <w:rsid w:val="695507BD"/>
    <w:rsid w:val="695C66D1"/>
    <w:rsid w:val="695F53CA"/>
    <w:rsid w:val="698242D6"/>
    <w:rsid w:val="69905457"/>
    <w:rsid w:val="69931D78"/>
    <w:rsid w:val="69951145"/>
    <w:rsid w:val="69A263DA"/>
    <w:rsid w:val="69A744D1"/>
    <w:rsid w:val="69B81139"/>
    <w:rsid w:val="69CC39C3"/>
    <w:rsid w:val="69DA0116"/>
    <w:rsid w:val="69DC2C0C"/>
    <w:rsid w:val="69DC2CA3"/>
    <w:rsid w:val="69E32108"/>
    <w:rsid w:val="69FB5D1C"/>
    <w:rsid w:val="6A4E1A2C"/>
    <w:rsid w:val="6A501B10"/>
    <w:rsid w:val="6A5954EE"/>
    <w:rsid w:val="6A697EEC"/>
    <w:rsid w:val="6A7A51BE"/>
    <w:rsid w:val="6A7B0477"/>
    <w:rsid w:val="6A9F116F"/>
    <w:rsid w:val="6ABD2DF2"/>
    <w:rsid w:val="6AC07907"/>
    <w:rsid w:val="6AC15E7B"/>
    <w:rsid w:val="6AC530E5"/>
    <w:rsid w:val="6AD26820"/>
    <w:rsid w:val="6AE04D77"/>
    <w:rsid w:val="6AEC505F"/>
    <w:rsid w:val="6AF2191C"/>
    <w:rsid w:val="6B1B21CC"/>
    <w:rsid w:val="6B2D0B16"/>
    <w:rsid w:val="6B396A0E"/>
    <w:rsid w:val="6B3A100A"/>
    <w:rsid w:val="6B431F5E"/>
    <w:rsid w:val="6B4F6D95"/>
    <w:rsid w:val="6B76402F"/>
    <w:rsid w:val="6B8B14DD"/>
    <w:rsid w:val="6B946A17"/>
    <w:rsid w:val="6BBA2C77"/>
    <w:rsid w:val="6BBD078B"/>
    <w:rsid w:val="6BC03F81"/>
    <w:rsid w:val="6BE97001"/>
    <w:rsid w:val="6BEE5D9D"/>
    <w:rsid w:val="6BFC650B"/>
    <w:rsid w:val="6BFD70B1"/>
    <w:rsid w:val="6C0663A2"/>
    <w:rsid w:val="6C3660CD"/>
    <w:rsid w:val="6C553AB1"/>
    <w:rsid w:val="6C8F6E08"/>
    <w:rsid w:val="6CB40216"/>
    <w:rsid w:val="6CB716CD"/>
    <w:rsid w:val="6CBF041E"/>
    <w:rsid w:val="6CC93D63"/>
    <w:rsid w:val="6CE15244"/>
    <w:rsid w:val="6CE3158D"/>
    <w:rsid w:val="6CF36CBD"/>
    <w:rsid w:val="6CFF390D"/>
    <w:rsid w:val="6D091E45"/>
    <w:rsid w:val="6D1102C1"/>
    <w:rsid w:val="6D115CA4"/>
    <w:rsid w:val="6D366B5C"/>
    <w:rsid w:val="6D3C01A9"/>
    <w:rsid w:val="6D407EBD"/>
    <w:rsid w:val="6D4765A4"/>
    <w:rsid w:val="6D4E72D1"/>
    <w:rsid w:val="6D4F2F91"/>
    <w:rsid w:val="6D4F3A27"/>
    <w:rsid w:val="6D5A3991"/>
    <w:rsid w:val="6D854FF6"/>
    <w:rsid w:val="6D921CA7"/>
    <w:rsid w:val="6D9A47F3"/>
    <w:rsid w:val="6DA16DE0"/>
    <w:rsid w:val="6DA525BF"/>
    <w:rsid w:val="6DAC3280"/>
    <w:rsid w:val="6DB73324"/>
    <w:rsid w:val="6DC02ABB"/>
    <w:rsid w:val="6DCB0011"/>
    <w:rsid w:val="6DCD41B7"/>
    <w:rsid w:val="6DCD4E0E"/>
    <w:rsid w:val="6DD51A5E"/>
    <w:rsid w:val="6DD5750D"/>
    <w:rsid w:val="6DD923BC"/>
    <w:rsid w:val="6DEF3342"/>
    <w:rsid w:val="6DFF5276"/>
    <w:rsid w:val="6E087B76"/>
    <w:rsid w:val="6E1D63BD"/>
    <w:rsid w:val="6E246226"/>
    <w:rsid w:val="6E3A123D"/>
    <w:rsid w:val="6E3F02ED"/>
    <w:rsid w:val="6E751E20"/>
    <w:rsid w:val="6E7D1FF2"/>
    <w:rsid w:val="6E9650A5"/>
    <w:rsid w:val="6E9D5634"/>
    <w:rsid w:val="6EA61D8B"/>
    <w:rsid w:val="6EAF3305"/>
    <w:rsid w:val="6EB138B8"/>
    <w:rsid w:val="6EB156C9"/>
    <w:rsid w:val="6EB429D5"/>
    <w:rsid w:val="6EC12F09"/>
    <w:rsid w:val="6EC24EEE"/>
    <w:rsid w:val="6ED453DE"/>
    <w:rsid w:val="6EEF475D"/>
    <w:rsid w:val="6F035E65"/>
    <w:rsid w:val="6F1472D6"/>
    <w:rsid w:val="6F1538D1"/>
    <w:rsid w:val="6F184401"/>
    <w:rsid w:val="6F196389"/>
    <w:rsid w:val="6F250EFC"/>
    <w:rsid w:val="6F2841CC"/>
    <w:rsid w:val="6F321D36"/>
    <w:rsid w:val="6F3C6B9F"/>
    <w:rsid w:val="6F585BC7"/>
    <w:rsid w:val="6F84177B"/>
    <w:rsid w:val="6F8A7415"/>
    <w:rsid w:val="6FAB0F9B"/>
    <w:rsid w:val="6FBD37D5"/>
    <w:rsid w:val="6FCE391A"/>
    <w:rsid w:val="6FD745E3"/>
    <w:rsid w:val="6FDD103A"/>
    <w:rsid w:val="6FE060F1"/>
    <w:rsid w:val="70093BF7"/>
    <w:rsid w:val="701228B2"/>
    <w:rsid w:val="70226E27"/>
    <w:rsid w:val="70421280"/>
    <w:rsid w:val="70436E37"/>
    <w:rsid w:val="70441D88"/>
    <w:rsid w:val="706B26AA"/>
    <w:rsid w:val="70865D4C"/>
    <w:rsid w:val="708C4F09"/>
    <w:rsid w:val="708C7B05"/>
    <w:rsid w:val="708F7F9D"/>
    <w:rsid w:val="709B7D64"/>
    <w:rsid w:val="70A54170"/>
    <w:rsid w:val="70A877F9"/>
    <w:rsid w:val="70B70DC5"/>
    <w:rsid w:val="70C12514"/>
    <w:rsid w:val="70C76213"/>
    <w:rsid w:val="70C8309E"/>
    <w:rsid w:val="70CA5017"/>
    <w:rsid w:val="70D02876"/>
    <w:rsid w:val="70D82A2B"/>
    <w:rsid w:val="70F55C5F"/>
    <w:rsid w:val="70F76A2D"/>
    <w:rsid w:val="711E7FCD"/>
    <w:rsid w:val="712F5FA3"/>
    <w:rsid w:val="714702F2"/>
    <w:rsid w:val="714A7A67"/>
    <w:rsid w:val="714F4076"/>
    <w:rsid w:val="7181221F"/>
    <w:rsid w:val="718B5374"/>
    <w:rsid w:val="71A379A5"/>
    <w:rsid w:val="71A75BD6"/>
    <w:rsid w:val="71B40A12"/>
    <w:rsid w:val="71B8670A"/>
    <w:rsid w:val="71C3013A"/>
    <w:rsid w:val="71E25D1F"/>
    <w:rsid w:val="71F46BD7"/>
    <w:rsid w:val="71FE7998"/>
    <w:rsid w:val="72060A4F"/>
    <w:rsid w:val="72101779"/>
    <w:rsid w:val="721D1B2C"/>
    <w:rsid w:val="7242128A"/>
    <w:rsid w:val="725F7C79"/>
    <w:rsid w:val="726154EB"/>
    <w:rsid w:val="726B31B3"/>
    <w:rsid w:val="728953C8"/>
    <w:rsid w:val="7289778C"/>
    <w:rsid w:val="728C7AD2"/>
    <w:rsid w:val="729A5871"/>
    <w:rsid w:val="72AF7B34"/>
    <w:rsid w:val="72B36B91"/>
    <w:rsid w:val="72B766BE"/>
    <w:rsid w:val="72B86DA8"/>
    <w:rsid w:val="72BA1ADA"/>
    <w:rsid w:val="72C345EA"/>
    <w:rsid w:val="72D6251C"/>
    <w:rsid w:val="72D77590"/>
    <w:rsid w:val="72E21F16"/>
    <w:rsid w:val="72F24012"/>
    <w:rsid w:val="72FE7115"/>
    <w:rsid w:val="73000A51"/>
    <w:rsid w:val="730550E0"/>
    <w:rsid w:val="731D5420"/>
    <w:rsid w:val="731F079A"/>
    <w:rsid w:val="73267997"/>
    <w:rsid w:val="73290505"/>
    <w:rsid w:val="732C32BA"/>
    <w:rsid w:val="732E7C69"/>
    <w:rsid w:val="73387A0F"/>
    <w:rsid w:val="733B2A1E"/>
    <w:rsid w:val="73415406"/>
    <w:rsid w:val="73467163"/>
    <w:rsid w:val="734D0239"/>
    <w:rsid w:val="73564BC1"/>
    <w:rsid w:val="73644CE7"/>
    <w:rsid w:val="73673588"/>
    <w:rsid w:val="737D3FB3"/>
    <w:rsid w:val="73995CAE"/>
    <w:rsid w:val="73AB6C4F"/>
    <w:rsid w:val="73B01B3E"/>
    <w:rsid w:val="73B02FAD"/>
    <w:rsid w:val="73B05157"/>
    <w:rsid w:val="73BF173C"/>
    <w:rsid w:val="73E53B50"/>
    <w:rsid w:val="73F04730"/>
    <w:rsid w:val="73FF2D9B"/>
    <w:rsid w:val="74092694"/>
    <w:rsid w:val="741105BE"/>
    <w:rsid w:val="741B2857"/>
    <w:rsid w:val="74230D1F"/>
    <w:rsid w:val="742C7B31"/>
    <w:rsid w:val="7440512B"/>
    <w:rsid w:val="746C6D44"/>
    <w:rsid w:val="747B24AA"/>
    <w:rsid w:val="74832D52"/>
    <w:rsid w:val="748A3C75"/>
    <w:rsid w:val="74927E43"/>
    <w:rsid w:val="74AB0ECE"/>
    <w:rsid w:val="74B74F25"/>
    <w:rsid w:val="74BF2CB4"/>
    <w:rsid w:val="74C410C6"/>
    <w:rsid w:val="74C92AF8"/>
    <w:rsid w:val="74CE759B"/>
    <w:rsid w:val="74D0037B"/>
    <w:rsid w:val="74D422FD"/>
    <w:rsid w:val="74D42B94"/>
    <w:rsid w:val="74F7347F"/>
    <w:rsid w:val="74FC25B8"/>
    <w:rsid w:val="75042650"/>
    <w:rsid w:val="751F2CFF"/>
    <w:rsid w:val="7521250E"/>
    <w:rsid w:val="7529222D"/>
    <w:rsid w:val="754E73EC"/>
    <w:rsid w:val="75600B19"/>
    <w:rsid w:val="758704DD"/>
    <w:rsid w:val="759025C6"/>
    <w:rsid w:val="759047E3"/>
    <w:rsid w:val="75996E74"/>
    <w:rsid w:val="75BF466F"/>
    <w:rsid w:val="75CB5C92"/>
    <w:rsid w:val="75D73B3F"/>
    <w:rsid w:val="75D976FF"/>
    <w:rsid w:val="75E26B7D"/>
    <w:rsid w:val="760D2C6B"/>
    <w:rsid w:val="760D4E89"/>
    <w:rsid w:val="76110192"/>
    <w:rsid w:val="76306CE1"/>
    <w:rsid w:val="763A57A3"/>
    <w:rsid w:val="763A7222"/>
    <w:rsid w:val="765B1B8C"/>
    <w:rsid w:val="765E4C01"/>
    <w:rsid w:val="766057DD"/>
    <w:rsid w:val="766244A1"/>
    <w:rsid w:val="7667082F"/>
    <w:rsid w:val="766B6983"/>
    <w:rsid w:val="76815C7A"/>
    <w:rsid w:val="76901D15"/>
    <w:rsid w:val="76B05A13"/>
    <w:rsid w:val="76B751B6"/>
    <w:rsid w:val="76B8746C"/>
    <w:rsid w:val="76EF2EA2"/>
    <w:rsid w:val="77024825"/>
    <w:rsid w:val="77196E31"/>
    <w:rsid w:val="773D405E"/>
    <w:rsid w:val="77462277"/>
    <w:rsid w:val="77480D70"/>
    <w:rsid w:val="7776603A"/>
    <w:rsid w:val="777A6A68"/>
    <w:rsid w:val="777D6317"/>
    <w:rsid w:val="77962F9E"/>
    <w:rsid w:val="779E6F44"/>
    <w:rsid w:val="77A659FA"/>
    <w:rsid w:val="77A70BFA"/>
    <w:rsid w:val="77AD06ED"/>
    <w:rsid w:val="77BD1B5C"/>
    <w:rsid w:val="77C27685"/>
    <w:rsid w:val="77C46131"/>
    <w:rsid w:val="77C60889"/>
    <w:rsid w:val="77C77A6D"/>
    <w:rsid w:val="77CC7EA2"/>
    <w:rsid w:val="77EC4667"/>
    <w:rsid w:val="780D6F68"/>
    <w:rsid w:val="780F0F59"/>
    <w:rsid w:val="78105BA0"/>
    <w:rsid w:val="781B7AA7"/>
    <w:rsid w:val="782D5318"/>
    <w:rsid w:val="783C5FED"/>
    <w:rsid w:val="784A6274"/>
    <w:rsid w:val="787A364B"/>
    <w:rsid w:val="787C4693"/>
    <w:rsid w:val="78847E07"/>
    <w:rsid w:val="788C7A55"/>
    <w:rsid w:val="7895509E"/>
    <w:rsid w:val="789E698D"/>
    <w:rsid w:val="78B06FB3"/>
    <w:rsid w:val="78BB3B1C"/>
    <w:rsid w:val="78D10ADF"/>
    <w:rsid w:val="78D4328A"/>
    <w:rsid w:val="78EF50C8"/>
    <w:rsid w:val="79173752"/>
    <w:rsid w:val="792660AC"/>
    <w:rsid w:val="79312099"/>
    <w:rsid w:val="793556EF"/>
    <w:rsid w:val="79421921"/>
    <w:rsid w:val="794D771D"/>
    <w:rsid w:val="7958326A"/>
    <w:rsid w:val="795F74B9"/>
    <w:rsid w:val="79752B15"/>
    <w:rsid w:val="7977621A"/>
    <w:rsid w:val="797931CD"/>
    <w:rsid w:val="79902EFD"/>
    <w:rsid w:val="79C61754"/>
    <w:rsid w:val="79D152FE"/>
    <w:rsid w:val="79E576F7"/>
    <w:rsid w:val="79EC1AE2"/>
    <w:rsid w:val="79EC33C5"/>
    <w:rsid w:val="79F37AFF"/>
    <w:rsid w:val="7A0007CF"/>
    <w:rsid w:val="7A022F85"/>
    <w:rsid w:val="7A294D7D"/>
    <w:rsid w:val="7A306191"/>
    <w:rsid w:val="7A7B633E"/>
    <w:rsid w:val="7A7F62F3"/>
    <w:rsid w:val="7AAE3F77"/>
    <w:rsid w:val="7AC74520"/>
    <w:rsid w:val="7AE4732C"/>
    <w:rsid w:val="7AFE6EEC"/>
    <w:rsid w:val="7B042707"/>
    <w:rsid w:val="7B10149F"/>
    <w:rsid w:val="7B186BFB"/>
    <w:rsid w:val="7B335D53"/>
    <w:rsid w:val="7B3B23D8"/>
    <w:rsid w:val="7B3D217F"/>
    <w:rsid w:val="7B5F2201"/>
    <w:rsid w:val="7B820739"/>
    <w:rsid w:val="7B9466A9"/>
    <w:rsid w:val="7B995E8F"/>
    <w:rsid w:val="7BAD736A"/>
    <w:rsid w:val="7BC32F07"/>
    <w:rsid w:val="7BC93BFD"/>
    <w:rsid w:val="7BCD7822"/>
    <w:rsid w:val="7BCF2448"/>
    <w:rsid w:val="7BEE6E3C"/>
    <w:rsid w:val="7C002B74"/>
    <w:rsid w:val="7C097E7D"/>
    <w:rsid w:val="7C0E36EB"/>
    <w:rsid w:val="7C223311"/>
    <w:rsid w:val="7C314698"/>
    <w:rsid w:val="7C340160"/>
    <w:rsid w:val="7C477E29"/>
    <w:rsid w:val="7C52339E"/>
    <w:rsid w:val="7C547F8F"/>
    <w:rsid w:val="7C641CCE"/>
    <w:rsid w:val="7C663FAF"/>
    <w:rsid w:val="7C73351C"/>
    <w:rsid w:val="7C8E2467"/>
    <w:rsid w:val="7C9C658A"/>
    <w:rsid w:val="7C9F77C3"/>
    <w:rsid w:val="7CA568CF"/>
    <w:rsid w:val="7CA66453"/>
    <w:rsid w:val="7CA74E63"/>
    <w:rsid w:val="7CA76981"/>
    <w:rsid w:val="7CAA3D27"/>
    <w:rsid w:val="7CDD2C7F"/>
    <w:rsid w:val="7CE80E89"/>
    <w:rsid w:val="7CEE6A67"/>
    <w:rsid w:val="7CF552E6"/>
    <w:rsid w:val="7CF83D2F"/>
    <w:rsid w:val="7D051FD2"/>
    <w:rsid w:val="7D171E20"/>
    <w:rsid w:val="7D1975DC"/>
    <w:rsid w:val="7D3A6373"/>
    <w:rsid w:val="7D3C2B3B"/>
    <w:rsid w:val="7D4074DD"/>
    <w:rsid w:val="7D4120F0"/>
    <w:rsid w:val="7D42094A"/>
    <w:rsid w:val="7D566DDF"/>
    <w:rsid w:val="7D57672D"/>
    <w:rsid w:val="7D622CCB"/>
    <w:rsid w:val="7D666089"/>
    <w:rsid w:val="7D786BBD"/>
    <w:rsid w:val="7D793A8C"/>
    <w:rsid w:val="7D993B08"/>
    <w:rsid w:val="7D9D69AD"/>
    <w:rsid w:val="7DA373D3"/>
    <w:rsid w:val="7DAD5999"/>
    <w:rsid w:val="7DB20BB7"/>
    <w:rsid w:val="7DB536B0"/>
    <w:rsid w:val="7DC142BF"/>
    <w:rsid w:val="7DC34286"/>
    <w:rsid w:val="7DCF030F"/>
    <w:rsid w:val="7DD634E9"/>
    <w:rsid w:val="7DE6005B"/>
    <w:rsid w:val="7DFF7B31"/>
    <w:rsid w:val="7E062BB3"/>
    <w:rsid w:val="7E066671"/>
    <w:rsid w:val="7E0D3AFE"/>
    <w:rsid w:val="7E0F0E0A"/>
    <w:rsid w:val="7E1B6F35"/>
    <w:rsid w:val="7E24457D"/>
    <w:rsid w:val="7E2B0227"/>
    <w:rsid w:val="7E323806"/>
    <w:rsid w:val="7E4779F4"/>
    <w:rsid w:val="7E506694"/>
    <w:rsid w:val="7E510D0A"/>
    <w:rsid w:val="7E632DB5"/>
    <w:rsid w:val="7E65568B"/>
    <w:rsid w:val="7E743C18"/>
    <w:rsid w:val="7E7B22EB"/>
    <w:rsid w:val="7E8609C9"/>
    <w:rsid w:val="7E873139"/>
    <w:rsid w:val="7EA34E2F"/>
    <w:rsid w:val="7EA93419"/>
    <w:rsid w:val="7EE30B1B"/>
    <w:rsid w:val="7EF67804"/>
    <w:rsid w:val="7EFC48A9"/>
    <w:rsid w:val="7F037154"/>
    <w:rsid w:val="7F0856D2"/>
    <w:rsid w:val="7F294A58"/>
    <w:rsid w:val="7F4121F0"/>
    <w:rsid w:val="7F63062F"/>
    <w:rsid w:val="7F6B110C"/>
    <w:rsid w:val="7F6D5288"/>
    <w:rsid w:val="7F7B4250"/>
    <w:rsid w:val="7F7E2103"/>
    <w:rsid w:val="7F8808AF"/>
    <w:rsid w:val="7F8B096B"/>
    <w:rsid w:val="7F90721F"/>
    <w:rsid w:val="7F98001A"/>
    <w:rsid w:val="7FAF5407"/>
    <w:rsid w:val="7FC730BB"/>
    <w:rsid w:val="7FD709A4"/>
    <w:rsid w:val="7FDF505F"/>
    <w:rsid w:val="7FFC40E9"/>
    <w:rsid w:val="7FFC4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0"/>
    <w:pPr>
      <w:ind w:left="200" w:leftChars="20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customStyle="1" w:styleId="11">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1755</Words>
  <Characters>10004</Characters>
  <Lines>83</Lines>
  <Paragraphs>23</Paragraphs>
  <TotalTime>22</TotalTime>
  <ScaleCrop>false</ScaleCrop>
  <LinksUpToDate>false</LinksUpToDate>
  <CharactersWithSpaces>11736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2021-05-31T06:56:00Z</dcterms:created>
  <dc:creator>hp</dc:creator>
  <cp:lastModifiedBy>好饭友</cp:lastModifiedBy>
  <cp:lastPrinted>2021-09-09T09:52:00Z</cp:lastPrinted>
  <dcterms:modified xsi:type="dcterms:W3CDTF">2021-09-13T09:25:54Z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6475EA055BB14F53BDAA067F3A8E069B</vt:lpwstr>
  </property>
</Properties>
</file>