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深圳市金融稳定发展研究院</w:t>
      </w:r>
    </w:p>
    <w:p>
      <w:pPr>
        <w:jc w:val="center"/>
        <w:rPr>
          <w:rFonts w:hint="eastAsia" w:ascii="宋体" w:hAnsi="宋体" w:eastAsia="宋体"/>
          <w:b/>
          <w:bCs/>
          <w:sz w:val="44"/>
          <w:szCs w:val="44"/>
        </w:rPr>
      </w:pPr>
      <w:bookmarkStart w:id="0" w:name="_GoBack"/>
      <w:r>
        <w:rPr>
          <w:rFonts w:hint="eastAsia" w:ascii="宋体" w:hAnsi="宋体" w:eastAsia="宋体"/>
          <w:b/>
          <w:bCs/>
          <w:sz w:val="44"/>
          <w:szCs w:val="44"/>
        </w:rPr>
        <w:t>课程计划及</w:t>
      </w:r>
      <w:r>
        <w:rPr>
          <w:rFonts w:hint="eastAsia" w:ascii="宋体" w:hAnsi="宋体" w:eastAsia="宋体"/>
          <w:b/>
          <w:bCs/>
          <w:sz w:val="44"/>
          <w:szCs w:val="44"/>
          <w:lang w:val="en-US" w:eastAsia="zh-CN"/>
        </w:rPr>
        <w:t>联系方式</w:t>
      </w:r>
    </w:p>
    <w:bookmarkEnd w:id="0"/>
    <w:p>
      <w:pPr>
        <w:ind w:firstLine="708" w:firstLineChars="236"/>
        <w:rPr>
          <w:rFonts w:ascii="黑体" w:hAnsi="黑体" w:eastAsia="黑体"/>
          <w:sz w:val="30"/>
          <w:szCs w:val="30"/>
        </w:rPr>
      </w:pPr>
      <w:r>
        <w:rPr>
          <w:rFonts w:hint="eastAsia" w:ascii="黑体" w:hAnsi="黑体" w:eastAsia="黑体"/>
          <w:sz w:val="30"/>
          <w:szCs w:val="30"/>
        </w:rPr>
        <w:t>一、课程目标</w:t>
      </w:r>
    </w:p>
    <w:p>
      <w:pPr>
        <w:ind w:firstLine="567" w:firstLineChars="189"/>
        <w:rPr>
          <w:rFonts w:ascii="仿宋_GB2312" w:eastAsia="仿宋_GB2312"/>
          <w:sz w:val="30"/>
          <w:szCs w:val="30"/>
        </w:rPr>
      </w:pPr>
      <w:r>
        <w:rPr>
          <w:rFonts w:hint="eastAsia" w:ascii="仿宋_GB2312" w:eastAsia="仿宋_GB2312"/>
          <w:sz w:val="30"/>
          <w:szCs w:val="30"/>
        </w:rPr>
        <w:t>为深圳市培养一批了解国内外金融动态和发展趋势、熟悉金融监管要求、具有改革创新意识的领军人才，支持深圳市金融业的健康稳定发展，发挥金融更好服务实体经济的作用。</w:t>
      </w:r>
    </w:p>
    <w:p>
      <w:pPr>
        <w:ind w:firstLine="708" w:firstLineChars="236"/>
        <w:rPr>
          <w:rFonts w:ascii="黑体" w:hAnsi="黑体" w:eastAsia="黑体"/>
          <w:sz w:val="30"/>
          <w:szCs w:val="30"/>
        </w:rPr>
      </w:pPr>
      <w:r>
        <w:rPr>
          <w:rFonts w:hint="eastAsia" w:ascii="黑体" w:hAnsi="黑体" w:eastAsia="黑体"/>
          <w:sz w:val="30"/>
          <w:szCs w:val="30"/>
        </w:rPr>
        <w:t>二、安排亮点</w:t>
      </w:r>
    </w:p>
    <w:p>
      <w:pPr>
        <w:ind w:firstLine="708" w:firstLineChars="236"/>
        <w:rPr>
          <w:rFonts w:ascii="仿宋_GB2312" w:eastAsia="仿宋_GB2312"/>
          <w:sz w:val="30"/>
          <w:szCs w:val="30"/>
        </w:rPr>
      </w:pPr>
      <w:r>
        <w:rPr>
          <w:rFonts w:ascii="仿宋_GB2312" w:eastAsia="仿宋_GB2312"/>
          <w:sz w:val="30"/>
          <w:szCs w:val="30"/>
        </w:rPr>
        <w:t xml:space="preserve">1. </w:t>
      </w:r>
      <w:r>
        <w:rPr>
          <w:rFonts w:ascii="仿宋_GB2312" w:eastAsia="仿宋_GB2312"/>
          <w:b/>
          <w:bCs/>
          <w:sz w:val="30"/>
          <w:szCs w:val="30"/>
        </w:rPr>
        <w:t>讲师高端</w:t>
      </w:r>
      <w:r>
        <w:rPr>
          <w:rFonts w:ascii="仿宋_GB2312" w:eastAsia="仿宋_GB2312"/>
          <w:sz w:val="30"/>
          <w:szCs w:val="30"/>
        </w:rPr>
        <w:t>，邀请政商学界领军型讲师，打造高端优质培训项目；</w:t>
      </w:r>
    </w:p>
    <w:p>
      <w:pPr>
        <w:ind w:firstLine="708" w:firstLineChars="236"/>
        <w:rPr>
          <w:rFonts w:ascii="仿宋_GB2312" w:eastAsia="仿宋_GB2312"/>
          <w:sz w:val="30"/>
          <w:szCs w:val="30"/>
        </w:rPr>
      </w:pPr>
      <w:r>
        <w:rPr>
          <w:rFonts w:ascii="仿宋_GB2312" w:eastAsia="仿宋_GB2312"/>
          <w:sz w:val="30"/>
          <w:szCs w:val="30"/>
        </w:rPr>
        <w:t xml:space="preserve">2. </w:t>
      </w:r>
      <w:r>
        <w:rPr>
          <w:rFonts w:hint="eastAsia" w:ascii="仿宋_GB2312" w:eastAsia="仿宋_GB2312"/>
          <w:b/>
          <w:bCs/>
          <w:sz w:val="30"/>
          <w:szCs w:val="30"/>
        </w:rPr>
        <w:t>主题</w:t>
      </w:r>
      <w:r>
        <w:rPr>
          <w:rFonts w:ascii="仿宋_GB2312" w:eastAsia="仿宋_GB2312"/>
          <w:b/>
          <w:bCs/>
          <w:sz w:val="30"/>
          <w:szCs w:val="30"/>
        </w:rPr>
        <w:t>前沿</w:t>
      </w:r>
      <w:r>
        <w:rPr>
          <w:rFonts w:ascii="仿宋_GB2312" w:eastAsia="仿宋_GB2312"/>
          <w:sz w:val="30"/>
          <w:szCs w:val="30"/>
        </w:rPr>
        <w:t>，紧跟国内外形势及国家战略，从产业最新趋势到深圳金融改革发展，搭建具有国际化视野、</w:t>
      </w:r>
      <w:r>
        <w:rPr>
          <w:rFonts w:hint="eastAsia" w:ascii="仿宋_GB2312" w:eastAsia="仿宋_GB2312"/>
          <w:sz w:val="30"/>
          <w:szCs w:val="30"/>
        </w:rPr>
        <w:t>与</w:t>
      </w:r>
      <w:r>
        <w:rPr>
          <w:rFonts w:ascii="仿宋_GB2312" w:eastAsia="仿宋_GB2312"/>
          <w:sz w:val="30"/>
          <w:szCs w:val="30"/>
        </w:rPr>
        <w:t>时俱进的课程体系；</w:t>
      </w:r>
    </w:p>
    <w:p>
      <w:pPr>
        <w:ind w:firstLine="708" w:firstLineChars="236"/>
        <w:rPr>
          <w:rFonts w:ascii="仿宋_GB2312" w:eastAsia="仿宋_GB2312"/>
          <w:sz w:val="30"/>
          <w:szCs w:val="30"/>
        </w:rPr>
      </w:pPr>
      <w:r>
        <w:rPr>
          <w:rFonts w:ascii="仿宋_GB2312" w:eastAsia="仿宋_GB2312"/>
          <w:sz w:val="30"/>
          <w:szCs w:val="30"/>
        </w:rPr>
        <w:t xml:space="preserve">3. </w:t>
      </w:r>
      <w:r>
        <w:rPr>
          <w:rFonts w:ascii="仿宋_GB2312" w:eastAsia="仿宋_GB2312"/>
          <w:b/>
          <w:bCs/>
          <w:sz w:val="30"/>
          <w:szCs w:val="30"/>
        </w:rPr>
        <w:t>形式多样</w:t>
      </w:r>
      <w:r>
        <w:rPr>
          <w:rFonts w:ascii="仿宋_GB2312" w:eastAsia="仿宋_GB2312"/>
          <w:sz w:val="30"/>
          <w:szCs w:val="30"/>
        </w:rPr>
        <w:t>，通过讲座授课、圆桌论坛、课题研讨、企业参访、学员交流等多种形式，全面促进学员学以致用；</w:t>
      </w:r>
    </w:p>
    <w:p>
      <w:pPr>
        <w:ind w:firstLine="708" w:firstLineChars="236"/>
        <w:rPr>
          <w:rFonts w:ascii="仿宋_GB2312" w:eastAsia="仿宋_GB2312"/>
          <w:sz w:val="30"/>
          <w:szCs w:val="30"/>
        </w:rPr>
      </w:pPr>
      <w:r>
        <w:rPr>
          <w:rFonts w:ascii="仿宋_GB2312" w:eastAsia="仿宋_GB2312"/>
          <w:sz w:val="30"/>
          <w:szCs w:val="30"/>
        </w:rPr>
        <w:t xml:space="preserve">4. </w:t>
      </w:r>
      <w:r>
        <w:rPr>
          <w:rFonts w:ascii="仿宋_GB2312" w:eastAsia="仿宋_GB2312"/>
          <w:b/>
          <w:bCs/>
          <w:sz w:val="30"/>
          <w:szCs w:val="30"/>
        </w:rPr>
        <w:t>平台广阔</w:t>
      </w:r>
      <w:r>
        <w:rPr>
          <w:rFonts w:ascii="仿宋_GB2312" w:eastAsia="仿宋_GB2312"/>
          <w:sz w:val="30"/>
          <w:szCs w:val="30"/>
        </w:rPr>
        <w:t>，聚集全市领军人才，建立高层次行业沟通交流合作平台。</w:t>
      </w:r>
    </w:p>
    <w:p>
      <w:pPr>
        <w:ind w:firstLine="708" w:firstLineChars="236"/>
        <w:rPr>
          <w:rFonts w:hint="eastAsia" w:ascii="黑体" w:hAnsi="黑体" w:eastAsia="黑体"/>
          <w:sz w:val="30"/>
          <w:szCs w:val="30"/>
          <w:lang w:eastAsia="zh-CN"/>
        </w:rPr>
      </w:pPr>
      <w:r>
        <w:rPr>
          <w:rFonts w:hint="eastAsia" w:ascii="黑体" w:hAnsi="黑体" w:eastAsia="黑体"/>
          <w:sz w:val="30"/>
          <w:szCs w:val="30"/>
        </w:rPr>
        <w:t>三、主要</w:t>
      </w:r>
      <w:r>
        <w:rPr>
          <w:rFonts w:hint="eastAsia" w:ascii="黑体" w:hAnsi="黑体" w:eastAsia="黑体"/>
          <w:sz w:val="30"/>
          <w:szCs w:val="30"/>
          <w:lang w:eastAsia="zh-CN"/>
        </w:rPr>
        <w:t>内容</w:t>
      </w:r>
    </w:p>
    <w:tbl>
      <w:tblPr>
        <w:tblStyle w:val="8"/>
        <w:tblW w:w="8269" w:type="dxa"/>
        <w:tblInd w:w="0" w:type="dxa"/>
        <w:tblLayout w:type="fixed"/>
        <w:tblCellMar>
          <w:top w:w="0" w:type="dxa"/>
          <w:left w:w="108" w:type="dxa"/>
          <w:bottom w:w="0" w:type="dxa"/>
          <w:right w:w="108" w:type="dxa"/>
        </w:tblCellMar>
      </w:tblPr>
      <w:tblGrid>
        <w:gridCol w:w="2704"/>
        <w:gridCol w:w="5565"/>
      </w:tblGrid>
      <w:tr>
        <w:tblPrEx>
          <w:tblLayout w:type="fixed"/>
          <w:tblCellMar>
            <w:top w:w="0" w:type="dxa"/>
            <w:left w:w="108" w:type="dxa"/>
            <w:bottom w:w="0" w:type="dxa"/>
            <w:right w:w="108" w:type="dxa"/>
          </w:tblCellMar>
        </w:tblPrEx>
        <w:trPr>
          <w:trHeight w:val="558" w:hRule="atLeast"/>
          <w:tblHeader/>
        </w:trPr>
        <w:tc>
          <w:tcPr>
            <w:tcW w:w="27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模块</w:t>
            </w:r>
          </w:p>
        </w:tc>
        <w:tc>
          <w:tcPr>
            <w:tcW w:w="556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研修课程</w:t>
            </w:r>
          </w:p>
        </w:tc>
      </w:tr>
      <w:tr>
        <w:tblPrEx>
          <w:tblLayout w:type="fixed"/>
          <w:tblCellMar>
            <w:top w:w="0" w:type="dxa"/>
            <w:left w:w="108" w:type="dxa"/>
            <w:bottom w:w="0" w:type="dxa"/>
            <w:right w:w="108" w:type="dxa"/>
          </w:tblCellMar>
        </w:tblPrEx>
        <w:trPr>
          <w:trHeight w:val="558" w:hRule="atLeast"/>
        </w:trPr>
        <w:tc>
          <w:tcPr>
            <w:tcW w:w="2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国际政治经济形势研判</w:t>
            </w:r>
          </w:p>
        </w:tc>
        <w:tc>
          <w:tcPr>
            <w:tcW w:w="55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1．大变局下国际形势与中国机遇</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2．全球经济分化趋势及对中国的影响</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3．中国宏观经济形势研判</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4．金融安全与风险防范</w:t>
            </w:r>
          </w:p>
        </w:tc>
      </w:tr>
      <w:tr>
        <w:tblPrEx>
          <w:tblLayout w:type="fixed"/>
          <w:tblCellMar>
            <w:top w:w="0" w:type="dxa"/>
            <w:left w:w="108" w:type="dxa"/>
            <w:bottom w:w="0" w:type="dxa"/>
            <w:right w:w="108" w:type="dxa"/>
          </w:tblCellMar>
        </w:tblPrEx>
        <w:trPr>
          <w:trHeight w:val="558" w:hRule="atLeast"/>
        </w:trPr>
        <w:tc>
          <w:tcPr>
            <w:tcW w:w="2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国家重大发展战略研究</w:t>
            </w: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5．“3060”双碳目标对我国产业格局的影响</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6．可持续发展战略下的金融影响和绿色金融发展</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7．先行示范区背景下深圳改革创新的突破口</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8．中国经济转型与未来城市发展</w:t>
            </w:r>
          </w:p>
        </w:tc>
      </w:tr>
      <w:tr>
        <w:tblPrEx>
          <w:tblLayout w:type="fixed"/>
          <w:tblCellMar>
            <w:top w:w="0" w:type="dxa"/>
            <w:left w:w="108" w:type="dxa"/>
            <w:bottom w:w="0" w:type="dxa"/>
            <w:right w:w="108" w:type="dxa"/>
          </w:tblCellMar>
        </w:tblPrEx>
        <w:trPr>
          <w:trHeight w:val="558" w:hRule="atLeast"/>
        </w:trPr>
        <w:tc>
          <w:tcPr>
            <w:tcW w:w="2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重点产业发展趋势分析</w:t>
            </w: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9．布局原始发现创造，夯实科学创新基础，打造深圳“量子谷”</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10．中国医疗改革及行业发展机遇</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11．数字经济的崛起与治理</w:t>
            </w:r>
          </w:p>
        </w:tc>
      </w:tr>
      <w:tr>
        <w:tblPrEx>
          <w:tblLayout w:type="fixed"/>
          <w:tblCellMar>
            <w:top w:w="0" w:type="dxa"/>
            <w:left w:w="108" w:type="dxa"/>
            <w:bottom w:w="0" w:type="dxa"/>
            <w:right w:w="108" w:type="dxa"/>
          </w:tblCellMar>
        </w:tblPrEx>
        <w:trPr>
          <w:trHeight w:val="558" w:hRule="atLeast"/>
        </w:trPr>
        <w:tc>
          <w:tcPr>
            <w:tcW w:w="2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深圳金融业专题研讨</w:t>
            </w: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12．深圳“金融服务实体”改革创新发展战略</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13．深圳银行保险行业数字化绿色转型策略</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14．深圳多层次资本市场构建和创新思路</w:t>
            </w:r>
          </w:p>
        </w:tc>
      </w:tr>
      <w:tr>
        <w:tblPrEx>
          <w:tblLayout w:type="fixed"/>
          <w:tblCellMar>
            <w:top w:w="0" w:type="dxa"/>
            <w:left w:w="108" w:type="dxa"/>
            <w:bottom w:w="0" w:type="dxa"/>
            <w:right w:w="108" w:type="dxa"/>
          </w:tblCellMar>
        </w:tblPrEx>
        <w:trPr>
          <w:trHeight w:val="558" w:hRule="atLeast"/>
        </w:trPr>
        <w:tc>
          <w:tcPr>
            <w:tcW w:w="2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sz w:val="24"/>
              </w:rPr>
            </w:pPr>
          </w:p>
        </w:tc>
        <w:tc>
          <w:tcPr>
            <w:tcW w:w="55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15．金融支持“专精特新”企业发展关键措施</w:t>
            </w:r>
          </w:p>
        </w:tc>
      </w:tr>
    </w:tbl>
    <w:p>
      <w:pPr>
        <w:rPr>
          <w:rFonts w:ascii="黑体" w:hAnsi="黑体" w:eastAsia="黑体"/>
          <w:sz w:val="30"/>
          <w:szCs w:val="30"/>
        </w:rPr>
      </w:pPr>
    </w:p>
    <w:tbl>
      <w:tblPr>
        <w:tblStyle w:val="8"/>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89"/>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 w:hRule="atLeast"/>
          <w:tblHeader/>
        </w:trPr>
        <w:tc>
          <w:tcPr>
            <w:tcW w:w="2689" w:type="dxa"/>
            <w:shd w:val="clear" w:color="auto" w:fill="D7D7D7" w:themeFill="background1" w:themeFillShade="D8"/>
            <w:tcMar>
              <w:top w:w="6" w:type="dxa"/>
              <w:left w:w="6" w:type="dxa"/>
              <w:bottom w:w="0" w:type="dxa"/>
              <w:right w:w="6" w:type="dxa"/>
            </w:tcMar>
            <w:vAlign w:val="center"/>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活动形式</w:t>
            </w:r>
          </w:p>
        </w:tc>
        <w:tc>
          <w:tcPr>
            <w:tcW w:w="5595" w:type="dxa"/>
            <w:shd w:val="clear" w:color="auto" w:fill="D7D7D7" w:themeFill="background1" w:themeFillShade="D8"/>
            <w:tcMar>
              <w:top w:w="6" w:type="dxa"/>
              <w:left w:w="6" w:type="dxa"/>
              <w:bottom w:w="0" w:type="dxa"/>
              <w:right w:w="6" w:type="dxa"/>
            </w:tcMar>
            <w:vAlign w:val="center"/>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8" w:hRule="atLeast"/>
        </w:trPr>
        <w:tc>
          <w:tcPr>
            <w:tcW w:w="2689" w:type="dxa"/>
            <w:shd w:val="clear" w:color="auto" w:fill="auto"/>
            <w:tcMar>
              <w:top w:w="6" w:type="dxa"/>
              <w:left w:w="6" w:type="dxa"/>
              <w:bottom w:w="0" w:type="dxa"/>
              <w:right w:w="6" w:type="dxa"/>
            </w:tcMar>
            <w:vAlign w:val="center"/>
          </w:tcPr>
          <w:p>
            <w:pPr>
              <w:numPr>
                <w:ilvl w:val="255"/>
                <w:numId w:val="0"/>
              </w:num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圆桌论坛1</w:t>
            </w:r>
          </w:p>
        </w:tc>
        <w:tc>
          <w:tcPr>
            <w:tcW w:w="5595" w:type="dxa"/>
            <w:shd w:val="clear" w:color="auto" w:fill="auto"/>
            <w:tcMar>
              <w:top w:w="6" w:type="dxa"/>
              <w:left w:w="6" w:type="dxa"/>
              <w:bottom w:w="0" w:type="dxa"/>
              <w:right w:w="6" w:type="dxa"/>
            </w:tcMar>
            <w:vAlign w:val="center"/>
          </w:tcPr>
          <w:p>
            <w:pPr>
              <w:numPr>
                <w:ilvl w:val="255"/>
                <w:numId w:val="0"/>
              </w:numPr>
              <w:jc w:val="left"/>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深圳打造全球金融科技中心的路径、问题研判和突破策略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8" w:hRule="atLeast"/>
        </w:trPr>
        <w:tc>
          <w:tcPr>
            <w:tcW w:w="2689" w:type="dxa"/>
            <w:shd w:val="clear" w:color="auto" w:fill="auto"/>
            <w:tcMar>
              <w:top w:w="6" w:type="dxa"/>
              <w:left w:w="6" w:type="dxa"/>
              <w:bottom w:w="0" w:type="dxa"/>
              <w:right w:w="6" w:type="dxa"/>
            </w:tcMar>
            <w:vAlign w:val="center"/>
          </w:tcPr>
          <w:p>
            <w:pPr>
              <w:numPr>
                <w:ilvl w:val="255"/>
                <w:numId w:val="0"/>
              </w:num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圆桌论坛2</w:t>
            </w:r>
          </w:p>
        </w:tc>
        <w:tc>
          <w:tcPr>
            <w:tcW w:w="5595" w:type="dxa"/>
            <w:shd w:val="clear" w:color="auto" w:fill="auto"/>
            <w:tcMar>
              <w:top w:w="6" w:type="dxa"/>
              <w:left w:w="6" w:type="dxa"/>
              <w:bottom w:w="0" w:type="dxa"/>
              <w:right w:w="6" w:type="dxa"/>
            </w:tcMar>
            <w:vAlign w:val="center"/>
          </w:tcPr>
          <w:p>
            <w:pPr>
              <w:numPr>
                <w:ilvl w:val="255"/>
                <w:numId w:val="0"/>
              </w:numPr>
              <w:jc w:val="left"/>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全球创新资本形成中心视角下深圳打造国际风投创投中心的策略与路径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8" w:hRule="atLeast"/>
        </w:trPr>
        <w:tc>
          <w:tcPr>
            <w:tcW w:w="2689" w:type="dxa"/>
            <w:shd w:val="clear" w:color="auto" w:fill="auto"/>
            <w:tcMar>
              <w:top w:w="6" w:type="dxa"/>
              <w:left w:w="6" w:type="dxa"/>
              <w:bottom w:w="0" w:type="dxa"/>
              <w:right w:w="6" w:type="dxa"/>
            </w:tcMar>
            <w:vAlign w:val="center"/>
          </w:tcPr>
          <w:p>
            <w:pPr>
              <w:numPr>
                <w:ilvl w:val="255"/>
                <w:numId w:val="0"/>
              </w:num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圆桌论坛3</w:t>
            </w:r>
          </w:p>
        </w:tc>
        <w:tc>
          <w:tcPr>
            <w:tcW w:w="5595" w:type="dxa"/>
            <w:shd w:val="clear" w:color="auto" w:fill="auto"/>
            <w:tcMar>
              <w:top w:w="6" w:type="dxa"/>
              <w:left w:w="6" w:type="dxa"/>
              <w:bottom w:w="0" w:type="dxa"/>
              <w:right w:w="6" w:type="dxa"/>
            </w:tcMar>
            <w:vAlign w:val="center"/>
          </w:tcPr>
          <w:p>
            <w:pPr>
              <w:numPr>
                <w:ilvl w:val="255"/>
                <w:numId w:val="0"/>
              </w:numPr>
              <w:contextualSpacing/>
              <w:jc w:val="left"/>
              <w:rPr>
                <w:rFonts w:ascii="仿宋_GB2312" w:hAnsi="仿宋_GB2312" w:eastAsia="仿宋_GB2312" w:cs="仿宋_GB2312"/>
                <w:color w:val="000000" w:themeColor="text1"/>
                <w:kern w:val="0"/>
                <w:sz w:val="24"/>
                <w:szCs w:val="24"/>
                <w:shd w:val="clear" w:color="auto" w:fill="FFFFFF"/>
                <w14:textFill>
                  <w14:solidFill>
                    <w14:schemeClr w14:val="tx1"/>
                  </w14:solidFill>
                </w14:textFill>
              </w:rPr>
            </w:pPr>
            <w:r>
              <w:rPr>
                <w:rFonts w:hint="eastAsia" w:ascii="仿宋_GB2312" w:hAnsi="仿宋_GB2312" w:eastAsia="仿宋_GB2312" w:cs="仿宋_GB2312"/>
                <w:color w:val="333333"/>
                <w:kern w:val="0"/>
                <w:sz w:val="24"/>
                <w:szCs w:val="24"/>
                <w:shd w:val="clear" w:color="auto" w:fill="FFFFFF"/>
              </w:rPr>
              <w:t>防范化解地方金融风险，构建金融运行安全区——地方金融风险化解的挑战、策略和路径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rPr>
        <w:tc>
          <w:tcPr>
            <w:tcW w:w="2689" w:type="dxa"/>
            <w:shd w:val="clear" w:color="auto" w:fill="auto"/>
            <w:tcMar>
              <w:top w:w="6" w:type="dxa"/>
              <w:left w:w="6" w:type="dxa"/>
              <w:bottom w:w="0" w:type="dxa"/>
              <w:right w:w="6" w:type="dxa"/>
            </w:tcMar>
            <w:vAlign w:val="center"/>
          </w:tcPr>
          <w:p>
            <w:pPr>
              <w:numPr>
                <w:ilvl w:val="255"/>
                <w:numId w:val="0"/>
              </w:numPr>
              <w:jc w:val="center"/>
              <w:rPr>
                <w:rFonts w:ascii="仿宋_GB2312" w:hAnsi="仿宋_GB2312" w:eastAsia="仿宋_GB2312" w:cs="仿宋_GB2312"/>
                <w:color w:val="333333"/>
                <w:kern w:val="0"/>
                <w:sz w:val="24"/>
                <w:szCs w:val="24"/>
                <w:highlight w:val="yellow"/>
                <w:shd w:val="clear" w:color="auto" w:fill="FFFFFF"/>
              </w:rPr>
            </w:pPr>
            <w:r>
              <w:rPr>
                <w:rFonts w:hint="eastAsia" w:ascii="仿宋_GB2312" w:hAnsi="仿宋_GB2312" w:eastAsia="仿宋_GB2312" w:cs="仿宋_GB2312"/>
                <w:color w:val="333333"/>
                <w:kern w:val="0"/>
                <w:sz w:val="24"/>
                <w:szCs w:val="24"/>
                <w:shd w:val="clear" w:color="auto" w:fill="FFFFFF"/>
              </w:rPr>
              <w:t>学员交流</w:t>
            </w:r>
          </w:p>
        </w:tc>
        <w:tc>
          <w:tcPr>
            <w:tcW w:w="5595" w:type="dxa"/>
            <w:shd w:val="clear" w:color="auto" w:fill="auto"/>
            <w:tcMar>
              <w:top w:w="6" w:type="dxa"/>
              <w:left w:w="6" w:type="dxa"/>
              <w:bottom w:w="0" w:type="dxa"/>
              <w:right w:w="6" w:type="dxa"/>
            </w:tcMar>
            <w:vAlign w:val="center"/>
          </w:tcPr>
          <w:p>
            <w:pPr>
              <w:numPr>
                <w:ilvl w:val="255"/>
                <w:numId w:val="0"/>
              </w:numPr>
              <w:contextualSpacing/>
              <w:jc w:val="left"/>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科技伦理与金融科技治理——可持续数字金融的关键问题及治理之道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2689" w:type="dxa"/>
            <w:shd w:val="clear" w:color="auto" w:fill="auto"/>
            <w:tcMar>
              <w:top w:w="6" w:type="dxa"/>
              <w:left w:w="6" w:type="dxa"/>
              <w:bottom w:w="0" w:type="dxa"/>
              <w:right w:w="6" w:type="dxa"/>
            </w:tcMar>
            <w:vAlign w:val="center"/>
          </w:tcPr>
          <w:p>
            <w:pPr>
              <w:numPr>
                <w:ilvl w:val="255"/>
                <w:numId w:val="0"/>
              </w:num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研讨活动</w:t>
            </w:r>
          </w:p>
        </w:tc>
        <w:tc>
          <w:tcPr>
            <w:tcW w:w="5595" w:type="dxa"/>
            <w:shd w:val="clear" w:color="auto" w:fill="auto"/>
            <w:tcMar>
              <w:top w:w="6" w:type="dxa"/>
              <w:left w:w="6" w:type="dxa"/>
              <w:bottom w:w="0" w:type="dxa"/>
              <w:right w:w="6" w:type="dxa"/>
            </w:tcMar>
            <w:vAlign w:val="center"/>
          </w:tcPr>
          <w:p>
            <w:pPr>
              <w:numPr>
                <w:ilvl w:val="255"/>
                <w:numId w:val="0"/>
              </w:numPr>
              <w:contextualSpacing/>
              <w:jc w:val="left"/>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学员研究报告成果展示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 w:hRule="atLeast"/>
        </w:trPr>
        <w:tc>
          <w:tcPr>
            <w:tcW w:w="2689" w:type="dxa"/>
            <w:shd w:val="clear" w:color="auto" w:fill="auto"/>
            <w:tcMar>
              <w:top w:w="8" w:type="dxa"/>
              <w:left w:w="8" w:type="dxa"/>
              <w:bottom w:w="0" w:type="dxa"/>
              <w:right w:w="8" w:type="dxa"/>
            </w:tcMar>
            <w:vAlign w:val="center"/>
          </w:tcPr>
          <w:p>
            <w:pPr>
              <w:numPr>
                <w:ilvl w:val="255"/>
                <w:numId w:val="0"/>
              </w:num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参访交流1</w:t>
            </w:r>
          </w:p>
        </w:tc>
        <w:tc>
          <w:tcPr>
            <w:tcW w:w="5595" w:type="dxa"/>
            <w:shd w:val="clear" w:color="auto" w:fill="auto"/>
            <w:tcMar>
              <w:top w:w="8" w:type="dxa"/>
              <w:left w:w="8" w:type="dxa"/>
              <w:bottom w:w="0" w:type="dxa"/>
              <w:right w:w="8" w:type="dxa"/>
            </w:tcMar>
            <w:vAlign w:val="center"/>
          </w:tcPr>
          <w:p>
            <w:pPr>
              <w:numPr>
                <w:ilvl w:val="255"/>
                <w:numId w:val="0"/>
              </w:numPr>
              <w:jc w:val="left"/>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迈瑞医疗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 w:hRule="atLeast"/>
        </w:trPr>
        <w:tc>
          <w:tcPr>
            <w:tcW w:w="2689" w:type="dxa"/>
            <w:shd w:val="clear" w:color="auto" w:fill="auto"/>
            <w:tcMar>
              <w:top w:w="8" w:type="dxa"/>
              <w:left w:w="8" w:type="dxa"/>
              <w:bottom w:w="0" w:type="dxa"/>
              <w:right w:w="8" w:type="dxa"/>
            </w:tcMar>
            <w:vAlign w:val="center"/>
          </w:tcPr>
          <w:p>
            <w:pPr>
              <w:numPr>
                <w:ilvl w:val="255"/>
                <w:numId w:val="0"/>
              </w:numPr>
              <w:jc w:val="center"/>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参访交流2</w:t>
            </w:r>
          </w:p>
        </w:tc>
        <w:tc>
          <w:tcPr>
            <w:tcW w:w="5595" w:type="dxa"/>
            <w:shd w:val="clear" w:color="auto" w:fill="auto"/>
            <w:tcMar>
              <w:top w:w="8" w:type="dxa"/>
              <w:left w:w="8" w:type="dxa"/>
              <w:bottom w:w="0" w:type="dxa"/>
              <w:right w:w="8" w:type="dxa"/>
            </w:tcMar>
            <w:vAlign w:val="center"/>
          </w:tcPr>
          <w:p>
            <w:pPr>
              <w:numPr>
                <w:ilvl w:val="255"/>
                <w:numId w:val="0"/>
              </w:numPr>
              <w:jc w:val="left"/>
              <w:rPr>
                <w:rFonts w:ascii="仿宋_GB2312" w:hAnsi="仿宋_GB2312" w:eastAsia="仿宋_GB2312" w:cs="仿宋_GB2312"/>
                <w:color w:val="333333"/>
                <w:kern w:val="0"/>
                <w:sz w:val="24"/>
                <w:szCs w:val="24"/>
                <w:shd w:val="clear" w:color="auto" w:fill="FFFFFF"/>
              </w:rPr>
            </w:pPr>
            <w:r>
              <w:rPr>
                <w:rFonts w:hint="eastAsia" w:ascii="仿宋_GB2312" w:hAnsi="仿宋_GB2312" w:eastAsia="仿宋_GB2312" w:cs="仿宋_GB2312"/>
                <w:color w:val="333333"/>
                <w:kern w:val="0"/>
                <w:sz w:val="24"/>
                <w:szCs w:val="24"/>
                <w:shd w:val="clear" w:color="auto" w:fill="FFFFFF"/>
              </w:rPr>
              <w:t>比亚迪集团</w:t>
            </w:r>
          </w:p>
        </w:tc>
      </w:tr>
    </w:tbl>
    <w:p>
      <w:pPr>
        <w:ind w:firstLine="602" w:firstLineChars="200"/>
        <w:rPr>
          <w:rFonts w:hint="default" w:ascii="黑体" w:hAnsi="黑体" w:eastAsia="黑体"/>
          <w:sz w:val="24"/>
          <w:szCs w:val="24"/>
          <w:lang w:val="en-US"/>
        </w:rPr>
      </w:pPr>
      <w:r>
        <w:rPr>
          <w:rFonts w:hint="eastAsia" w:ascii="仿宋_GB2312" w:hAnsi="仿宋_GB2312" w:eastAsia="仿宋_GB2312" w:cs="仿宋_GB2312"/>
          <w:b/>
          <w:bCs/>
          <w:sz w:val="30"/>
          <w:szCs w:val="30"/>
          <w:lang w:val="en-US" w:eastAsia="zh-CN"/>
        </w:rPr>
        <w:t>备注：课程内容可根据市地方金融管理局和学员要求调整优化。</w:t>
      </w:r>
    </w:p>
    <w:p>
      <w:pPr>
        <w:ind w:firstLine="708" w:firstLineChars="236"/>
        <w:rPr>
          <w:rFonts w:ascii="黑体" w:hAnsi="黑体" w:eastAsia="黑体"/>
          <w:sz w:val="30"/>
          <w:szCs w:val="30"/>
        </w:rPr>
      </w:pPr>
      <w:r>
        <w:rPr>
          <w:rFonts w:hint="eastAsia" w:ascii="黑体" w:hAnsi="黑体" w:eastAsia="黑体"/>
          <w:sz w:val="30"/>
          <w:szCs w:val="30"/>
        </w:rPr>
        <w:t>四、师资代表简介</w:t>
      </w:r>
    </w:p>
    <w:p>
      <w:pPr>
        <w:ind w:firstLine="708" w:firstLineChars="236"/>
        <w:rPr>
          <w:rFonts w:ascii="仿宋_GB2312" w:hAnsi="黑体" w:eastAsia="仿宋_GB2312"/>
          <w:sz w:val="30"/>
          <w:szCs w:val="30"/>
        </w:rPr>
      </w:pPr>
      <w:r>
        <w:rPr>
          <w:rFonts w:hint="eastAsia" w:ascii="仿宋_GB2312" w:hAnsi="黑体" w:eastAsia="仿宋_GB2312"/>
          <w:sz w:val="30"/>
          <w:szCs w:val="30"/>
        </w:rPr>
        <w:t>1</w:t>
      </w:r>
      <w:r>
        <w:rPr>
          <w:rFonts w:ascii="仿宋_GB2312" w:hAnsi="黑体" w:eastAsia="仿宋_GB2312"/>
          <w:sz w:val="30"/>
          <w:szCs w:val="30"/>
        </w:rPr>
        <w:t>.</w:t>
      </w:r>
      <w:r>
        <w:rPr>
          <w:rFonts w:hint="eastAsia" w:ascii="仿宋_GB2312" w:hAnsi="黑体" w:eastAsia="仿宋_GB2312"/>
          <w:sz w:val="30"/>
          <w:szCs w:val="30"/>
        </w:rPr>
        <w:t>郑永年，香港中文大学（深圳）校长讲座教授、全球与当代中国高等研究院首任院长、上海交通大学政治经济研究院名誉院长。曾任新加坡国立大学东亚研究所所长，《国际中国研究杂志》共同主编，罗特里奇出版社“中国政策丛书”主编和世界科技书局“当代中国研究丛书”共同主编。中国问题专家，长年致力于中国内部转型及其外部关系研究</w:t>
      </w:r>
    </w:p>
    <w:p>
      <w:pPr>
        <w:ind w:firstLine="708" w:firstLineChars="236"/>
        <w:rPr>
          <w:rFonts w:ascii="仿宋_GB2312" w:hAnsi="黑体" w:eastAsia="仿宋_GB2312"/>
          <w:sz w:val="30"/>
          <w:szCs w:val="30"/>
        </w:rPr>
      </w:pPr>
      <w:r>
        <w:rPr>
          <w:rFonts w:ascii="仿宋_GB2312" w:hAnsi="黑体" w:eastAsia="仿宋_GB2312"/>
          <w:sz w:val="30"/>
          <w:szCs w:val="30"/>
        </w:rPr>
        <w:t>2.</w:t>
      </w:r>
      <w:r>
        <w:rPr>
          <w:rFonts w:hint="eastAsia" w:ascii="仿宋_GB2312" w:hAnsi="黑体" w:eastAsia="仿宋_GB2312"/>
          <w:sz w:val="30"/>
          <w:szCs w:val="30"/>
        </w:rPr>
        <w:t>肖</w:t>
      </w:r>
      <w:r>
        <w:rPr>
          <w:rFonts w:ascii="仿宋_GB2312" w:hAnsi="黑体" w:eastAsia="仿宋_GB2312"/>
          <w:sz w:val="30"/>
          <w:szCs w:val="30"/>
        </w:rPr>
        <w:t xml:space="preserve">  钢，第十三届全国政协经济委员会委员、中国证监会原主席</w:t>
      </w:r>
    </w:p>
    <w:p>
      <w:pPr>
        <w:ind w:firstLine="708" w:firstLineChars="236"/>
        <w:rPr>
          <w:rFonts w:ascii="仿宋_GB2312" w:hAnsi="黑体" w:eastAsia="仿宋_GB2312"/>
          <w:sz w:val="30"/>
          <w:szCs w:val="30"/>
        </w:rPr>
      </w:pPr>
      <w:r>
        <w:rPr>
          <w:rFonts w:ascii="仿宋_GB2312" w:hAnsi="黑体" w:eastAsia="仿宋_GB2312"/>
          <w:sz w:val="30"/>
          <w:szCs w:val="30"/>
        </w:rPr>
        <w:t>3.</w:t>
      </w:r>
      <w:r>
        <w:rPr>
          <w:rFonts w:hint="eastAsia" w:ascii="仿宋_GB2312" w:hAnsi="黑体" w:eastAsia="仿宋_GB2312"/>
          <w:sz w:val="30"/>
          <w:szCs w:val="30"/>
        </w:rPr>
        <w:t>于学军，中国银保监会国有重点金融机构监事会主席</w:t>
      </w:r>
    </w:p>
    <w:p>
      <w:pPr>
        <w:ind w:firstLine="708" w:firstLineChars="236"/>
        <w:rPr>
          <w:rFonts w:ascii="仿宋_GB2312" w:hAnsi="黑体" w:eastAsia="仿宋_GB2312"/>
          <w:sz w:val="30"/>
          <w:szCs w:val="30"/>
        </w:rPr>
      </w:pPr>
      <w:r>
        <w:rPr>
          <w:rFonts w:ascii="仿宋_GB2312" w:hAnsi="黑体" w:eastAsia="仿宋_GB2312"/>
          <w:sz w:val="30"/>
          <w:szCs w:val="30"/>
        </w:rPr>
        <w:t>4.</w:t>
      </w:r>
      <w:r>
        <w:rPr>
          <w:rFonts w:hint="eastAsia" w:ascii="仿宋_GB2312" w:hAnsi="黑体" w:eastAsia="仿宋_GB2312"/>
          <w:sz w:val="30"/>
          <w:szCs w:val="30"/>
        </w:rPr>
        <w:t>孙天琦，中国人民银行金融稳定局局长、原国家外汇管理局总会计师</w:t>
      </w:r>
    </w:p>
    <w:p>
      <w:pPr>
        <w:ind w:firstLine="708" w:firstLineChars="236"/>
        <w:rPr>
          <w:rFonts w:ascii="仿宋_GB2312" w:hAnsi="黑体" w:eastAsia="仿宋_GB2312"/>
          <w:sz w:val="30"/>
          <w:szCs w:val="30"/>
        </w:rPr>
      </w:pPr>
      <w:r>
        <w:rPr>
          <w:rFonts w:ascii="仿宋_GB2312" w:hAnsi="黑体" w:eastAsia="仿宋_GB2312"/>
          <w:sz w:val="30"/>
          <w:szCs w:val="30"/>
        </w:rPr>
        <w:t>5.</w:t>
      </w:r>
      <w:r>
        <w:rPr>
          <w:rFonts w:hint="eastAsia" w:ascii="仿宋_GB2312" w:hAnsi="黑体" w:eastAsia="仿宋_GB2312"/>
          <w:sz w:val="30"/>
          <w:szCs w:val="30"/>
        </w:rPr>
        <w:t>王忠民，深圳市金融稳定发展研究院理事长，全国社会保障基金理事会原副理事长</w:t>
      </w:r>
    </w:p>
    <w:p>
      <w:pPr>
        <w:ind w:firstLine="708" w:firstLineChars="236"/>
        <w:rPr>
          <w:rFonts w:ascii="仿宋_GB2312" w:hAnsi="黑体" w:eastAsia="仿宋_GB2312"/>
          <w:sz w:val="30"/>
          <w:szCs w:val="30"/>
        </w:rPr>
      </w:pPr>
      <w:r>
        <w:rPr>
          <w:rFonts w:ascii="仿宋_GB2312" w:hAnsi="黑体" w:eastAsia="仿宋_GB2312"/>
          <w:sz w:val="30"/>
          <w:szCs w:val="30"/>
        </w:rPr>
        <w:t>6.</w:t>
      </w:r>
      <w:r>
        <w:rPr>
          <w:rFonts w:hint="eastAsia" w:ascii="仿宋_GB2312" w:hAnsi="黑体" w:eastAsia="仿宋_GB2312"/>
          <w:sz w:val="30"/>
          <w:szCs w:val="30"/>
        </w:rPr>
        <w:t>克里斯托弗·吕特格，慕尼黑工业大学商业道德教授、人工智能伦理研究所所长，清华大学人工智能国际治理研究院学术委员会委员</w:t>
      </w:r>
    </w:p>
    <w:p>
      <w:pPr>
        <w:ind w:firstLine="708" w:firstLineChars="236"/>
        <w:rPr>
          <w:rFonts w:ascii="仿宋_GB2312" w:hAnsi="黑体" w:eastAsia="仿宋_GB2312"/>
          <w:sz w:val="30"/>
          <w:szCs w:val="30"/>
        </w:rPr>
      </w:pPr>
      <w:r>
        <w:rPr>
          <w:rFonts w:hint="eastAsia" w:ascii="仿宋_GB2312" w:hAnsi="黑体" w:eastAsia="仿宋_GB2312"/>
          <w:sz w:val="30"/>
          <w:szCs w:val="30"/>
        </w:rPr>
        <w:t>7</w:t>
      </w:r>
      <w:r>
        <w:rPr>
          <w:rFonts w:ascii="仿宋_GB2312" w:hAnsi="黑体" w:eastAsia="仿宋_GB2312"/>
          <w:sz w:val="30"/>
          <w:szCs w:val="30"/>
        </w:rPr>
        <w:t>.</w:t>
      </w:r>
      <w:r>
        <w:rPr>
          <w:rFonts w:hint="eastAsia" w:ascii="仿宋_GB2312" w:hAnsi="黑体" w:eastAsia="仿宋_GB2312"/>
          <w:sz w:val="30"/>
          <w:szCs w:val="30"/>
        </w:rPr>
        <w:t>俞大鹏，深圳市政协常委，中国科学院院士，南方科技大学量子科学与工程研究院院长，中国电子学会量子信息分会主任</w:t>
      </w:r>
    </w:p>
    <w:p>
      <w:pPr>
        <w:ind w:firstLine="708" w:firstLineChars="236"/>
        <w:rPr>
          <w:rFonts w:ascii="仿宋_GB2312" w:hAnsi="黑体" w:eastAsia="仿宋_GB2312"/>
          <w:sz w:val="30"/>
          <w:szCs w:val="30"/>
        </w:rPr>
      </w:pPr>
      <w:r>
        <w:rPr>
          <w:rFonts w:ascii="仿宋_GB2312" w:hAnsi="黑体" w:eastAsia="仿宋_GB2312"/>
          <w:sz w:val="30"/>
          <w:szCs w:val="30"/>
        </w:rPr>
        <w:t>8.</w:t>
      </w:r>
      <w:r>
        <w:rPr>
          <w:rFonts w:hint="eastAsia" w:ascii="仿宋_GB2312" w:hAnsi="黑体" w:eastAsia="仿宋_GB2312"/>
          <w:sz w:val="30"/>
          <w:szCs w:val="30"/>
        </w:rPr>
        <w:t>唐</w:t>
      </w:r>
      <w:r>
        <w:rPr>
          <w:rFonts w:ascii="仿宋_GB2312" w:hAnsi="黑体" w:eastAsia="仿宋_GB2312"/>
          <w:sz w:val="30"/>
          <w:szCs w:val="30"/>
        </w:rPr>
        <w:t xml:space="preserve">  杰，香港中文大学（深圳）理事、深圳高等金融研究院湾区发展与中国经济研究中心学术主任。哈尔滨工业大学（深圳）经管学院教授、博士研究生导师。国家发改委“十三五”“十四五”国家规划委员会委员。曾任深圳市人民政府副市长</w:t>
      </w:r>
    </w:p>
    <w:p>
      <w:pPr>
        <w:ind w:firstLine="708" w:firstLineChars="236"/>
        <w:rPr>
          <w:rFonts w:ascii="仿宋_GB2312" w:hAnsi="黑体" w:eastAsia="仿宋_GB2312"/>
          <w:sz w:val="30"/>
          <w:szCs w:val="30"/>
        </w:rPr>
      </w:pPr>
      <w:r>
        <w:rPr>
          <w:rFonts w:ascii="仿宋_GB2312" w:hAnsi="黑体" w:eastAsia="仿宋_GB2312"/>
          <w:sz w:val="30"/>
          <w:szCs w:val="30"/>
        </w:rPr>
        <w:t>9.</w:t>
      </w:r>
      <w:r>
        <w:rPr>
          <w:rFonts w:hint="eastAsia" w:ascii="仿宋_GB2312" w:hAnsi="黑体" w:eastAsia="仿宋_GB2312"/>
          <w:sz w:val="30"/>
          <w:szCs w:val="30"/>
        </w:rPr>
        <w:t>何</w:t>
      </w:r>
      <w:r>
        <w:rPr>
          <w:rFonts w:ascii="仿宋_GB2312" w:hAnsi="黑体" w:eastAsia="仿宋_GB2312"/>
          <w:sz w:val="30"/>
          <w:szCs w:val="30"/>
        </w:rPr>
        <w:t xml:space="preserve">  杰，深圳市地方金融监督管理局局长，国务院参事室金融研究中心研究员，民革中央委员、民革中央经济委员会副主任、民革广东省委会副主委、民革深圳市委会主委，深圳市政协常委</w:t>
      </w:r>
      <w:r>
        <w:rPr>
          <w:rFonts w:hint="eastAsia" w:ascii="仿宋_GB2312" w:hAnsi="黑体" w:eastAsia="仿宋_GB2312"/>
          <w:sz w:val="30"/>
          <w:szCs w:val="30"/>
        </w:rPr>
        <w:t>。</w:t>
      </w:r>
    </w:p>
    <w:p>
      <w:pPr>
        <w:ind w:firstLine="708" w:firstLineChars="236"/>
        <w:rPr>
          <w:rFonts w:ascii="仿宋_GB2312" w:hAnsi="黑体" w:eastAsia="仿宋_GB2312"/>
          <w:sz w:val="30"/>
          <w:szCs w:val="30"/>
        </w:rPr>
      </w:pPr>
      <w:r>
        <w:rPr>
          <w:rFonts w:ascii="仿宋_GB2312" w:hAnsi="黑体" w:eastAsia="仿宋_GB2312"/>
          <w:sz w:val="30"/>
          <w:szCs w:val="30"/>
        </w:rPr>
        <w:t>10.</w:t>
      </w:r>
      <w:r>
        <w:rPr>
          <w:rFonts w:hint="eastAsia" w:ascii="仿宋_GB2312" w:hAnsi="黑体" w:eastAsia="仿宋_GB2312"/>
          <w:sz w:val="30"/>
          <w:szCs w:val="30"/>
        </w:rPr>
        <w:t>高振怀，深圳市决策咨询委员会常务副主任，深圳智库联盟理事长，原深圳人大常委会副主任</w:t>
      </w:r>
    </w:p>
    <w:p>
      <w:pPr>
        <w:ind w:firstLine="708" w:firstLineChars="236"/>
        <w:rPr>
          <w:rFonts w:ascii="仿宋_GB2312" w:hAnsi="黑体" w:eastAsia="仿宋_GB2312"/>
          <w:sz w:val="30"/>
          <w:szCs w:val="30"/>
        </w:rPr>
      </w:pPr>
      <w:r>
        <w:rPr>
          <w:rFonts w:ascii="仿宋_GB2312" w:hAnsi="黑体" w:eastAsia="仿宋_GB2312"/>
          <w:sz w:val="30"/>
          <w:szCs w:val="30"/>
        </w:rPr>
        <w:t>11.</w:t>
      </w:r>
      <w:r>
        <w:rPr>
          <w:rFonts w:hint="eastAsia" w:ascii="仿宋_GB2312" w:hAnsi="黑体" w:eastAsia="仿宋_GB2312"/>
          <w:sz w:val="30"/>
          <w:szCs w:val="30"/>
        </w:rPr>
        <w:t>马蔚华，社会价值投资联盟主席、国际公益学院董事会主席、国家科技成果转化引导基金理事长、联合国开发计划署可持续发展影响力投资全球指导委员会、联合国开发计划署驻华代表处特别顾问，原招商银行股份有限公司执行董事、行长兼首席执行官</w:t>
      </w:r>
    </w:p>
    <w:p>
      <w:pPr>
        <w:ind w:firstLine="708" w:firstLineChars="236"/>
        <w:rPr>
          <w:rFonts w:ascii="仿宋_GB2312" w:hAnsi="黑体" w:eastAsia="仿宋_GB2312"/>
          <w:sz w:val="30"/>
          <w:szCs w:val="30"/>
        </w:rPr>
      </w:pPr>
      <w:r>
        <w:rPr>
          <w:rFonts w:hint="eastAsia" w:ascii="仿宋_GB2312" w:hAnsi="黑体" w:eastAsia="仿宋_GB2312"/>
          <w:sz w:val="30"/>
          <w:szCs w:val="30"/>
        </w:rPr>
        <w:t>1</w:t>
      </w:r>
      <w:r>
        <w:rPr>
          <w:rFonts w:ascii="仿宋_GB2312" w:hAnsi="黑体" w:eastAsia="仿宋_GB2312"/>
          <w:sz w:val="30"/>
          <w:szCs w:val="30"/>
        </w:rPr>
        <w:t>2.</w:t>
      </w:r>
      <w:r>
        <w:rPr>
          <w:rFonts w:hint="eastAsia" w:ascii="仿宋_GB2312" w:hAnsi="黑体" w:eastAsia="仿宋_GB2312"/>
          <w:sz w:val="30"/>
          <w:szCs w:val="30"/>
        </w:rPr>
        <w:t>李西廷，深圳迈瑞生物医疗电子股份有限公司董事长，深圳经济特区建立</w:t>
      </w:r>
      <w:r>
        <w:rPr>
          <w:rFonts w:ascii="仿宋_GB2312" w:hAnsi="黑体" w:eastAsia="仿宋_GB2312"/>
          <w:sz w:val="30"/>
          <w:szCs w:val="30"/>
        </w:rPr>
        <w:t>40周年创新创业人物和先进模范人物</w:t>
      </w:r>
    </w:p>
    <w:p>
      <w:pPr>
        <w:ind w:firstLine="708" w:firstLineChars="236"/>
        <w:rPr>
          <w:rFonts w:ascii="黑体" w:hAnsi="黑体" w:eastAsia="黑体"/>
          <w:sz w:val="30"/>
          <w:szCs w:val="30"/>
        </w:rPr>
      </w:pPr>
      <w:r>
        <w:rPr>
          <w:rFonts w:hint="eastAsia" w:ascii="黑体" w:hAnsi="黑体" w:eastAsia="黑体"/>
          <w:sz w:val="30"/>
          <w:szCs w:val="30"/>
          <w:lang w:eastAsia="zh-CN"/>
        </w:rPr>
        <w:t>五</w:t>
      </w:r>
      <w:r>
        <w:rPr>
          <w:rFonts w:hint="eastAsia" w:ascii="黑体" w:hAnsi="黑体" w:eastAsia="黑体"/>
          <w:sz w:val="30"/>
          <w:szCs w:val="30"/>
        </w:rPr>
        <w:t>、联系方式</w:t>
      </w:r>
    </w:p>
    <w:p>
      <w:pPr>
        <w:ind w:firstLine="567" w:firstLineChars="189"/>
        <w:rPr>
          <w:rFonts w:ascii="仿宋_GB2312" w:hAnsi="仿宋_GB2312" w:eastAsia="仿宋_GB2312" w:cs="仿宋_GB2312"/>
          <w:sz w:val="30"/>
          <w:szCs w:val="30"/>
        </w:rPr>
      </w:pPr>
      <w:r>
        <w:rPr>
          <w:rFonts w:hint="eastAsia" w:ascii="仿宋_GB2312" w:hAnsi="仿宋_GB2312" w:eastAsia="仿宋_GB2312" w:cs="仿宋_GB2312"/>
          <w:sz w:val="30"/>
          <w:szCs w:val="30"/>
        </w:rPr>
        <w:t>深圳市金融稳定发展研究院</w:t>
      </w:r>
    </w:p>
    <w:p>
      <w:pPr>
        <w:ind w:firstLine="567" w:firstLineChars="18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联系人：吕老师 </w:t>
      </w:r>
      <w:r>
        <w:rPr>
          <w:rFonts w:ascii="仿宋_GB2312" w:hAnsi="仿宋_GB2312" w:eastAsia="仿宋_GB2312" w:cs="仿宋_GB2312"/>
          <w:sz w:val="30"/>
          <w:szCs w:val="30"/>
        </w:rPr>
        <w:t>13798577233</w:t>
      </w:r>
      <w:r>
        <w:rPr>
          <w:rFonts w:hint="eastAsia" w:ascii="仿宋_GB2312" w:hAnsi="仿宋_GB2312" w:eastAsia="仿宋_GB2312" w:cs="仿宋_GB2312"/>
          <w:sz w:val="30"/>
          <w:szCs w:val="30"/>
        </w:rPr>
        <w:t>，尹老师</w:t>
      </w:r>
      <w:r>
        <w:rPr>
          <w:rFonts w:ascii="仿宋_GB2312" w:hAnsi="仿宋_GB2312" w:eastAsia="仿宋_GB2312" w:cs="仿宋_GB2312"/>
          <w:sz w:val="30"/>
          <w:szCs w:val="30"/>
        </w:rPr>
        <w:t>18665881287</w:t>
      </w:r>
      <w:r>
        <w:rPr>
          <w:rFonts w:hint="eastAsia" w:ascii="仿宋_GB2312" w:hAnsi="仿宋_GB2312" w:eastAsia="仿宋_GB2312" w:cs="仿宋_GB2312"/>
          <w:sz w:val="30"/>
          <w:szCs w:val="30"/>
        </w:rPr>
        <w:t xml:space="preserve"> </w:t>
      </w:r>
    </w:p>
    <w:p>
      <w:pPr>
        <w:ind w:firstLine="567" w:firstLineChars="189"/>
        <w:rPr>
          <w:rFonts w:ascii="仿宋_GB2312" w:hAnsi="仿宋_GB2312" w:eastAsia="仿宋_GB2312" w:cs="仿宋_GB2312"/>
          <w:sz w:val="30"/>
          <w:szCs w:val="30"/>
        </w:rPr>
      </w:pPr>
      <w:r>
        <w:rPr>
          <w:rFonts w:hint="eastAsia" w:ascii="仿宋_GB2312" w:hAnsi="仿宋_GB2312" w:eastAsia="仿宋_GB2312" w:cs="仿宋_GB2312"/>
          <w:sz w:val="30"/>
          <w:szCs w:val="30"/>
        </w:rPr>
        <w:t>电话：</w:t>
      </w:r>
      <w:r>
        <w:rPr>
          <w:rFonts w:ascii="仿宋_GB2312" w:hAnsi="仿宋_GB2312" w:eastAsia="仿宋_GB2312" w:cs="仿宋_GB2312"/>
          <w:sz w:val="30"/>
          <w:szCs w:val="30"/>
        </w:rPr>
        <w:t>0755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83994950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0755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83994958</w:t>
      </w:r>
    </w:p>
    <w:p>
      <w:pPr>
        <w:ind w:firstLine="567" w:firstLineChars="189"/>
        <w:rPr>
          <w:rFonts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rPr>
        <w:t>邮箱：</w:t>
      </w:r>
      <w:r>
        <w:rPr>
          <w:color w:val="auto"/>
          <w:u w:val="none"/>
        </w:rPr>
        <w:fldChar w:fldCharType="begin"/>
      </w:r>
      <w:r>
        <w:rPr>
          <w:color w:val="auto"/>
          <w:u w:val="none"/>
        </w:rPr>
        <w:instrText xml:space="preserve"> HYPERLINK "mailto:29406156@qq.com" </w:instrText>
      </w:r>
      <w:r>
        <w:rPr>
          <w:color w:val="auto"/>
          <w:u w:val="none"/>
        </w:rPr>
        <w:fldChar w:fldCharType="separate"/>
      </w:r>
      <w:r>
        <w:rPr>
          <w:rStyle w:val="10"/>
          <w:rFonts w:hint="eastAsia" w:ascii="仿宋_GB2312" w:hAnsi="仿宋_GB2312" w:eastAsia="仿宋_GB2312" w:cs="仿宋_GB2312"/>
          <w:color w:val="auto"/>
          <w:sz w:val="30"/>
          <w:szCs w:val="30"/>
          <w:u w:val="none"/>
        </w:rPr>
        <w:t>2</w:t>
      </w:r>
      <w:r>
        <w:rPr>
          <w:rStyle w:val="10"/>
          <w:rFonts w:ascii="仿宋_GB2312" w:hAnsi="仿宋_GB2312" w:eastAsia="仿宋_GB2312" w:cs="仿宋_GB2312"/>
          <w:color w:val="auto"/>
          <w:sz w:val="30"/>
          <w:szCs w:val="30"/>
          <w:u w:val="none"/>
        </w:rPr>
        <w:t>9406156@qq.com</w:t>
      </w:r>
      <w:r>
        <w:rPr>
          <w:rStyle w:val="10"/>
          <w:rFonts w:ascii="仿宋_GB2312" w:hAnsi="仿宋_GB2312" w:eastAsia="仿宋_GB2312" w:cs="仿宋_GB2312"/>
          <w:color w:val="auto"/>
          <w:sz w:val="30"/>
          <w:szCs w:val="30"/>
          <w:u w:val="none"/>
        </w:rPr>
        <w:fldChar w:fldCharType="end"/>
      </w:r>
      <w:r>
        <w:rPr>
          <w:rFonts w:ascii="仿宋_GB2312" w:hAnsi="仿宋_GB2312" w:eastAsia="仿宋_GB2312" w:cs="仿宋_GB2312"/>
          <w:color w:val="auto"/>
          <w:sz w:val="30"/>
          <w:szCs w:val="30"/>
          <w:u w:val="none"/>
        </w:rPr>
        <w:t xml:space="preserve">, </w:t>
      </w:r>
      <w:r>
        <w:rPr>
          <w:color w:val="auto"/>
          <w:u w:val="none"/>
        </w:rPr>
        <w:t xml:space="preserve"> </w:t>
      </w:r>
      <w:r>
        <w:rPr>
          <w:color w:val="auto"/>
          <w:u w:val="none"/>
        </w:rPr>
        <w:fldChar w:fldCharType="begin"/>
      </w:r>
      <w:r>
        <w:rPr>
          <w:color w:val="auto"/>
          <w:u w:val="none"/>
        </w:rPr>
        <w:instrText xml:space="preserve"> HYPERLINK "mailto:brianyinhe@163.com" </w:instrText>
      </w:r>
      <w:r>
        <w:rPr>
          <w:color w:val="auto"/>
          <w:u w:val="none"/>
        </w:rPr>
        <w:fldChar w:fldCharType="separate"/>
      </w:r>
      <w:r>
        <w:rPr>
          <w:rStyle w:val="10"/>
          <w:rFonts w:ascii="仿宋_GB2312" w:hAnsi="仿宋_GB2312" w:eastAsia="仿宋_GB2312" w:cs="仿宋_GB2312"/>
          <w:color w:val="auto"/>
          <w:sz w:val="30"/>
          <w:szCs w:val="30"/>
          <w:u w:val="none"/>
        </w:rPr>
        <w:t>brianyinhe@163.com</w:t>
      </w:r>
      <w:r>
        <w:rPr>
          <w:rStyle w:val="10"/>
          <w:rFonts w:ascii="仿宋_GB2312" w:hAnsi="仿宋_GB2312" w:eastAsia="仿宋_GB2312" w:cs="仿宋_GB2312"/>
          <w:color w:val="auto"/>
          <w:sz w:val="30"/>
          <w:szCs w:val="30"/>
          <w:u w:val="none"/>
        </w:rPr>
        <w:fldChar w:fldCharType="end"/>
      </w:r>
    </w:p>
    <w:p>
      <w:pPr>
        <w:ind w:firstLine="567" w:firstLineChars="189"/>
        <w:rPr>
          <w:rFonts w:ascii="仿宋_GB2312" w:hAnsi="仿宋_GB2312" w:eastAsia="仿宋_GB2312" w:cs="仿宋_GB2312"/>
          <w:sz w:val="30"/>
          <w:szCs w:val="30"/>
        </w:rPr>
      </w:pPr>
      <w:r>
        <w:rPr>
          <w:rFonts w:hint="eastAsia" w:ascii="仿宋_GB2312" w:hAnsi="仿宋_GB2312" w:eastAsia="仿宋_GB2312" w:cs="仿宋_GB2312"/>
          <w:sz w:val="30"/>
          <w:szCs w:val="30"/>
        </w:rPr>
        <w:t>地址：深圳市福田区国际创新中心B座1</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层</w:t>
      </w:r>
    </w:p>
    <w:p>
      <w:pPr>
        <w:ind w:firstLine="567" w:firstLineChars="189"/>
        <w:rPr>
          <w:rFonts w:ascii="仿宋_GB2312" w:hAnsi="仿宋_GB2312" w:eastAsia="仿宋_GB2312" w:cs="仿宋_GB2312"/>
          <w:sz w:val="30"/>
          <w:szCs w:val="30"/>
        </w:rPr>
      </w:pPr>
    </w:p>
    <w:p>
      <w:pPr>
        <w:ind w:firstLine="567" w:firstLineChars="189"/>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06"/>
    <w:rsid w:val="000113BB"/>
    <w:rsid w:val="001361E4"/>
    <w:rsid w:val="00165506"/>
    <w:rsid w:val="00183383"/>
    <w:rsid w:val="00237E65"/>
    <w:rsid w:val="00295EE8"/>
    <w:rsid w:val="002D511D"/>
    <w:rsid w:val="003276CC"/>
    <w:rsid w:val="00344C07"/>
    <w:rsid w:val="00517F17"/>
    <w:rsid w:val="005338AA"/>
    <w:rsid w:val="005B448E"/>
    <w:rsid w:val="005F08E3"/>
    <w:rsid w:val="006947C7"/>
    <w:rsid w:val="008C60AA"/>
    <w:rsid w:val="008E35AA"/>
    <w:rsid w:val="00941ED8"/>
    <w:rsid w:val="009A3160"/>
    <w:rsid w:val="00AE571F"/>
    <w:rsid w:val="00B07620"/>
    <w:rsid w:val="00B56AC8"/>
    <w:rsid w:val="00B87885"/>
    <w:rsid w:val="00DB4274"/>
    <w:rsid w:val="00E425CB"/>
    <w:rsid w:val="00E62782"/>
    <w:rsid w:val="00F81D6F"/>
    <w:rsid w:val="00FA2E98"/>
    <w:rsid w:val="0B0E0F4F"/>
    <w:rsid w:val="327E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eastAsia="黑体"/>
      <w:bCs/>
      <w:kern w:val="44"/>
      <w:sz w:val="32"/>
      <w:szCs w:val="44"/>
    </w:rPr>
  </w:style>
  <w:style w:type="paragraph" w:styleId="3">
    <w:name w:val="heading 2"/>
    <w:basedOn w:val="1"/>
    <w:next w:val="1"/>
    <w:link w:val="12"/>
    <w:unhideWhenUsed/>
    <w:qFormat/>
    <w:uiPriority w:val="9"/>
    <w:pPr>
      <w:keepNext/>
      <w:keepLines/>
      <w:spacing w:before="260" w:after="260" w:line="416" w:lineRule="auto"/>
      <w:outlineLvl w:val="1"/>
    </w:pPr>
    <w:rPr>
      <w:rFonts w:eastAsia="楷体_GB2312" w:asciiTheme="majorHAnsi" w:hAnsiTheme="majorHAnsi" w:cstheme="majorBidi"/>
      <w:bCs/>
      <w:sz w:val="32"/>
      <w:szCs w:val="32"/>
    </w:rPr>
  </w:style>
  <w:style w:type="paragraph" w:styleId="4">
    <w:name w:val="heading 3"/>
    <w:basedOn w:val="1"/>
    <w:next w:val="1"/>
    <w:link w:val="13"/>
    <w:unhideWhenUsed/>
    <w:qFormat/>
    <w:uiPriority w:val="0"/>
    <w:pPr>
      <w:keepNext/>
      <w:keepLines/>
      <w:spacing w:before="260" w:after="260" w:line="416" w:lineRule="auto"/>
      <w:outlineLvl w:val="2"/>
    </w:pPr>
    <w:rPr>
      <w:rFonts w:eastAsia="仿宋_GB2312"/>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rFonts w:eastAsia="黑体"/>
      <w:sz w:val="22"/>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标题 1 字符"/>
    <w:basedOn w:val="9"/>
    <w:link w:val="2"/>
    <w:qFormat/>
    <w:uiPriority w:val="9"/>
    <w:rPr>
      <w:rFonts w:eastAsia="黑体"/>
      <w:bCs/>
      <w:kern w:val="44"/>
      <w:sz w:val="32"/>
      <w:szCs w:val="44"/>
    </w:rPr>
  </w:style>
  <w:style w:type="character" w:customStyle="1" w:styleId="12">
    <w:name w:val="标题 2 字符"/>
    <w:basedOn w:val="9"/>
    <w:link w:val="3"/>
    <w:uiPriority w:val="9"/>
    <w:rPr>
      <w:rFonts w:eastAsia="楷体_GB2312" w:asciiTheme="majorHAnsi" w:hAnsiTheme="majorHAnsi" w:cstheme="majorBidi"/>
      <w:bCs/>
      <w:sz w:val="32"/>
      <w:szCs w:val="32"/>
    </w:rPr>
  </w:style>
  <w:style w:type="character" w:customStyle="1" w:styleId="13">
    <w:name w:val="标题 3 字符"/>
    <w:basedOn w:val="9"/>
    <w:link w:val="4"/>
    <w:qFormat/>
    <w:uiPriority w:val="0"/>
    <w:rPr>
      <w:rFonts w:eastAsia="仿宋_GB2312"/>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1729</Characters>
  <Lines>14</Lines>
  <Paragraphs>4</Paragraphs>
  <TotalTime>0</TotalTime>
  <ScaleCrop>false</ScaleCrop>
  <LinksUpToDate>false</LinksUpToDate>
  <CharactersWithSpaces>2028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2021-09-03T12:13:00Z</dcterms:created>
  <dc:creator>Zhang Summer</dc:creator>
  <cp:lastModifiedBy>石永珍</cp:lastModifiedBy>
  <dcterms:modified xsi:type="dcterms:W3CDTF">2021-09-06T07:42:17Z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