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396"/>
        <w:tblW w:w="9570" w:type="dxa"/>
        <w:tblInd w:w="0" w:type="dxa"/>
        <w:tblLayout w:type="fixed"/>
        <w:tblCellMar>
          <w:top w:w="0" w:type="dxa"/>
          <w:left w:w="0" w:type="dxa"/>
          <w:bottom w:w="0" w:type="dxa"/>
          <w:right w:w="0" w:type="dxa"/>
        </w:tblCellMar>
      </w:tblPr>
      <w:tblGrid>
        <w:gridCol w:w="55"/>
        <w:gridCol w:w="9515"/>
      </w:tblGrid>
      <w:tr>
        <w:tblPrEx>
          <w:tblLayout w:type="fixed"/>
          <w:tblCellMar>
            <w:top w:w="0" w:type="dxa"/>
            <w:left w:w="0" w:type="dxa"/>
            <w:bottom w:w="0" w:type="dxa"/>
            <w:right w:w="0" w:type="dxa"/>
          </w:tblCellMar>
        </w:tblPrEx>
        <w:trPr>
          <w:trHeight w:val="99" w:hRule="atLeast"/>
        </w:trPr>
        <w:tc>
          <w:tcPr>
            <w:tcW w:w="55" w:type="dxa"/>
            <w:tcBorders>
              <w:top w:val="nil"/>
              <w:left w:val="nil"/>
              <w:bottom w:val="nil"/>
              <w:right w:val="nil"/>
            </w:tcBorders>
            <w:noWrap w:val="0"/>
            <w:tcMar>
              <w:top w:w="15" w:type="dxa"/>
              <w:left w:w="15" w:type="dxa"/>
              <w:bottom w:w="0" w:type="dxa"/>
              <w:right w:w="15" w:type="dxa"/>
            </w:tcMar>
            <w:vAlign w:val="top"/>
          </w:tcPr>
          <w:p>
            <w:pPr>
              <w:jc w:val="center"/>
            </w:pPr>
          </w:p>
        </w:tc>
        <w:tc>
          <w:tcPr>
            <w:tcW w:w="9515" w:type="dxa"/>
            <w:tcBorders>
              <w:top w:val="nil"/>
              <w:left w:val="nil"/>
              <w:bottom w:val="nil"/>
              <w:right w:val="nil"/>
            </w:tcBorders>
            <w:noWrap w:val="0"/>
            <w:tcMar>
              <w:top w:w="15" w:type="dxa"/>
              <w:left w:w="15" w:type="dxa"/>
              <w:bottom w:w="0" w:type="dxa"/>
              <w:right w:w="15" w:type="dxa"/>
            </w:tcMar>
            <w:vAlign w:val="top"/>
          </w:tcPr>
          <w:p>
            <w:pPr>
              <w:spacing w:before="240" w:beforeLines="100" w:after="240" w:afterLines="100"/>
              <w:rPr>
                <w:rFonts w:ascii="仿宋_GB2312" w:eastAsia="仿宋_GB2312"/>
                <w:spacing w:val="40"/>
                <w:sz w:val="32"/>
                <w:szCs w:val="32"/>
              </w:rPr>
            </w:pPr>
            <w:r>
              <w:rPr>
                <w:rFonts w:hint="eastAsia" w:ascii="仿宋_GB2312" w:eastAsia="仿宋_GB2312"/>
                <w:spacing w:val="40"/>
                <w:sz w:val="32"/>
                <w:szCs w:val="32"/>
              </w:rPr>
              <w:t>附件：</w:t>
            </w:r>
          </w:p>
          <w:p>
            <w:pPr>
              <w:spacing w:before="240" w:beforeLines="100" w:after="240" w:afterLines="100"/>
              <w:jc w:val="center"/>
              <w:rPr>
                <w:rFonts w:hint="eastAsia" w:eastAsia="黑体"/>
                <w:b/>
                <w:spacing w:val="40"/>
                <w:sz w:val="48"/>
                <w:szCs w:val="48"/>
              </w:rPr>
            </w:pPr>
            <w:r>
              <w:rPr>
                <w:rFonts w:hint="eastAsia" w:eastAsia="黑体"/>
                <w:b/>
                <w:spacing w:val="40"/>
                <w:sz w:val="48"/>
                <w:szCs w:val="48"/>
              </w:rPr>
              <w:t>深圳市融资担保公司年审报告书</w:t>
            </w:r>
          </w:p>
          <w:p>
            <w:pPr>
              <w:spacing w:before="240" w:beforeLines="100" w:after="240" w:afterLines="100"/>
              <w:jc w:val="center"/>
              <w:rPr>
                <w:rFonts w:hint="eastAsia"/>
                <w:b/>
                <w:spacing w:val="40"/>
                <w:sz w:val="32"/>
                <w:szCs w:val="32"/>
              </w:rPr>
            </w:pPr>
          </w:p>
          <w:p>
            <w:pPr>
              <w:jc w:val="center"/>
              <w:rPr>
                <w:rFonts w:hint="eastAsia"/>
              </w:rPr>
            </w:pPr>
          </w:p>
          <w:p>
            <w:pPr>
              <w:jc w:val="center"/>
              <w:rPr>
                <w:rFonts w:hint="eastAsia"/>
              </w:rPr>
            </w:pPr>
          </w:p>
          <w:p>
            <w:pPr>
              <w:jc w:val="center"/>
              <w:rPr>
                <w:rFonts w:hint="eastAsia"/>
              </w:rPr>
            </w:pPr>
          </w:p>
          <w:p>
            <w:pPr>
              <w:ind w:firstLine="560" w:firstLineChars="200"/>
              <w:jc w:val="center"/>
              <w:rPr>
                <w:rFonts w:hint="eastAsia"/>
                <w:sz w:val="28"/>
              </w:rPr>
            </w:pPr>
          </w:p>
          <w:p>
            <w:pPr>
              <w:ind w:firstLine="560" w:firstLineChars="200"/>
              <w:jc w:val="center"/>
              <w:rPr>
                <w:rFonts w:hint="eastAsia"/>
                <w:sz w:val="28"/>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公司名称（盖章）：</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许 可 证 编 码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住          所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法 定 代 表 人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人 ：</w:t>
            </w: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电  话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报  告  日  期 ：</w:t>
            </w:r>
          </w:p>
          <w:p>
            <w:pPr>
              <w:ind w:firstLine="320" w:firstLineChars="100"/>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楷体_GB2312" w:eastAsia="楷体_GB2312"/>
                <w:b/>
                <w:sz w:val="30"/>
                <w:szCs w:val="30"/>
              </w:rPr>
            </w:pPr>
            <w:r>
              <w:rPr>
                <w:rFonts w:hint="eastAsia" w:ascii="楷体_GB2312" w:eastAsia="楷体_GB2312"/>
                <w:b/>
                <w:sz w:val="30"/>
                <w:szCs w:val="30"/>
              </w:rPr>
              <w:t>深圳市</w:t>
            </w:r>
            <w:r>
              <w:rPr>
                <w:rFonts w:hint="eastAsia" w:ascii="楷体_GB2312" w:eastAsia="楷体_GB2312"/>
                <w:b/>
                <w:sz w:val="30"/>
                <w:szCs w:val="30"/>
                <w:lang w:val="en-US" w:eastAsia="zh-CN"/>
              </w:rPr>
              <w:t>地方金融监督管理局</w:t>
            </w:r>
            <w:r>
              <w:rPr>
                <w:rFonts w:hint="eastAsia" w:ascii="楷体_GB2312" w:eastAsia="楷体_GB2312"/>
                <w:b/>
                <w:sz w:val="30"/>
                <w:szCs w:val="30"/>
                <w:lang w:eastAsia="zh-CN"/>
              </w:rPr>
              <w:t>室</w:t>
            </w:r>
            <w:r>
              <w:rPr>
                <w:rFonts w:hint="eastAsia" w:ascii="楷体_GB2312" w:eastAsia="楷体_GB2312"/>
                <w:b/>
                <w:sz w:val="30"/>
                <w:szCs w:val="30"/>
              </w:rPr>
              <w:t>制</w:t>
            </w:r>
          </w:p>
          <w:p>
            <w:pPr>
              <w:jc w:val="center"/>
              <w:rPr>
                <w:rFonts w:hint="eastAsia"/>
                <w:b/>
                <w:bCs/>
                <w:sz w:val="44"/>
                <w:szCs w:val="44"/>
              </w:rPr>
            </w:pPr>
          </w:p>
          <w:p>
            <w:pPr>
              <w:jc w:val="center"/>
              <w:rPr>
                <w:rFonts w:hint="eastAsia"/>
                <w:bCs/>
                <w:sz w:val="32"/>
                <w:szCs w:val="32"/>
              </w:rPr>
            </w:pPr>
          </w:p>
          <w:p>
            <w:pPr>
              <w:jc w:val="center"/>
              <w:rPr>
                <w:b/>
                <w:bCs/>
                <w:sz w:val="28"/>
                <w:szCs w:val="28"/>
              </w:rPr>
            </w:pPr>
            <w:r>
              <w:rPr>
                <w:rFonts w:hint="eastAsia"/>
                <w:bCs/>
                <w:sz w:val="32"/>
                <w:szCs w:val="32"/>
              </w:rPr>
              <w:t xml:space="preserve">                         </w:t>
            </w:r>
          </w:p>
        </w:tc>
      </w:tr>
    </w:tbl>
    <w:p>
      <w:pPr>
        <w:sectPr>
          <w:footerReference r:id="rId3" w:type="default"/>
          <w:pgSz w:w="11906" w:h="16838"/>
          <w:pgMar w:top="1418" w:right="567" w:bottom="1418" w:left="567" w:header="851" w:footer="992" w:gutter="0"/>
          <w:cols w:space="720" w:num="1"/>
          <w:docGrid w:linePitch="312" w:charSpace="0"/>
        </w:sectPr>
      </w:pPr>
    </w:p>
    <w:p>
      <w:pPr>
        <w:spacing w:line="440" w:lineRule="exact"/>
        <w:ind w:right="290" w:rightChars="138" w:firstLine="315" w:firstLineChars="150"/>
      </w:pPr>
      <w:r>
        <w:rPr>
          <w:rFonts w:hint="eastAsia"/>
        </w:rPr>
        <w:t>填报说明：</w:t>
      </w:r>
    </w:p>
    <w:p>
      <w:pPr>
        <w:spacing w:line="440" w:lineRule="exact"/>
        <w:ind w:left="315" w:leftChars="150" w:right="290" w:rightChars="138" w:firstLine="315" w:firstLineChars="150"/>
      </w:pPr>
      <w:r>
        <w:t>1.表格项目应填写齐全，不得有遗漏空缺项。</w:t>
      </w:r>
    </w:p>
    <w:p>
      <w:pPr>
        <w:spacing w:line="440" w:lineRule="exact"/>
        <w:ind w:left="315" w:leftChars="150" w:right="290" w:rightChars="138" w:firstLine="315" w:firstLineChars="150"/>
        <w:rPr>
          <w:rFonts w:hint="eastAsia"/>
        </w:rPr>
      </w:pPr>
      <w:r>
        <w:t>2.</w:t>
      </w:r>
      <w:r>
        <w:rPr>
          <w:rFonts w:hint="eastAsia"/>
        </w:rPr>
        <w:t>“许可证记载情况”按许可证上载明的事项填写；发生变更审批而未换证的，按已审批结果填写。</w:t>
      </w:r>
    </w:p>
    <w:p>
      <w:pPr>
        <w:spacing w:line="440" w:lineRule="exact"/>
        <w:ind w:left="315" w:leftChars="150" w:right="290" w:rightChars="138" w:firstLine="315" w:firstLineChars="150"/>
        <w:rPr>
          <w:rFonts w:hint="eastAsia"/>
        </w:rPr>
      </w:pPr>
      <w:r>
        <w:rPr>
          <w:rFonts w:hint="eastAsia"/>
        </w:rPr>
        <w:t>3.“</w:t>
      </w:r>
      <w:r>
        <w:rPr>
          <w:rFonts w:hint="eastAsia"/>
          <w:lang w:eastAsia="zh-CN"/>
        </w:rPr>
        <w:t>期初</w:t>
      </w:r>
      <w:r>
        <w:rPr>
          <w:rFonts w:hint="eastAsia"/>
        </w:rPr>
        <w:t>情况”按第一次颁证时的审批结果填写。</w:t>
      </w:r>
    </w:p>
    <w:p>
      <w:pPr>
        <w:spacing w:line="440" w:lineRule="exact"/>
        <w:ind w:left="315" w:leftChars="150" w:right="290" w:rightChars="138" w:firstLine="315" w:firstLineChars="150"/>
        <w:rPr>
          <w:rFonts w:hint="eastAsia"/>
        </w:rPr>
      </w:pPr>
      <w:r>
        <w:rPr>
          <w:rFonts w:hint="eastAsia"/>
        </w:rPr>
        <w:t>4.“</w:t>
      </w:r>
      <w:r>
        <w:rPr>
          <w:rFonts w:hint="eastAsia"/>
          <w:lang w:eastAsia="zh-CN"/>
        </w:rPr>
        <w:t>期末</w:t>
      </w:r>
      <w:r>
        <w:rPr>
          <w:rFonts w:hint="eastAsia"/>
        </w:rPr>
        <w:t>情况”按20</w:t>
      </w:r>
      <w:r>
        <w:rPr>
          <w:rFonts w:hint="eastAsia"/>
          <w:lang w:val="en-US" w:eastAsia="zh-CN"/>
        </w:rPr>
        <w:t>20</w:t>
      </w:r>
      <w:r>
        <w:rPr>
          <w:rFonts w:hint="eastAsia"/>
        </w:rPr>
        <w:t>年</w:t>
      </w:r>
      <w:r>
        <w:rPr>
          <w:rFonts w:hint="eastAsia"/>
          <w:lang w:val="en-US" w:eastAsia="zh-CN"/>
        </w:rPr>
        <w:t>6月底</w:t>
      </w:r>
      <w:r>
        <w:rPr>
          <w:rFonts w:hint="eastAsia"/>
        </w:rPr>
        <w:t>实际情况填写，如与左栏内容相同，填写“同左”。</w:t>
      </w:r>
    </w:p>
    <w:p>
      <w:pPr>
        <w:spacing w:line="440" w:lineRule="exact"/>
        <w:ind w:left="315" w:leftChars="150" w:right="290" w:rightChars="138" w:firstLine="315" w:firstLineChars="150"/>
        <w:rPr>
          <w:rFonts w:hint="eastAsia"/>
        </w:rPr>
      </w:pPr>
      <w:r>
        <w:rPr>
          <w:rFonts w:hint="eastAsia"/>
        </w:rPr>
        <w:t>5.“批准文号及日期”指</w:t>
      </w:r>
      <w:r>
        <w:rPr>
          <w:rFonts w:hint="eastAsia"/>
          <w:lang w:eastAsia="zh-CN"/>
        </w:rPr>
        <w:t>经由行业主管部门出具的</w:t>
      </w:r>
      <w:r>
        <w:rPr>
          <w:rFonts w:hint="eastAsia"/>
        </w:rPr>
        <w:t>批复文号和日期。</w:t>
      </w:r>
    </w:p>
    <w:p>
      <w:pPr>
        <w:spacing w:line="440" w:lineRule="exact"/>
        <w:ind w:left="315" w:leftChars="150" w:right="290" w:rightChars="138" w:firstLine="315" w:firstLineChars="150"/>
        <w:rPr>
          <w:rFonts w:hint="eastAsia"/>
        </w:rPr>
      </w:pPr>
      <w:r>
        <w:rPr>
          <w:rFonts w:hint="eastAsia"/>
        </w:rPr>
        <w:t>6.“分支机构情况”指融资性担保公司设立的分公司</w:t>
      </w:r>
      <w:r>
        <w:rPr>
          <w:rFonts w:hint="eastAsia"/>
          <w:lang w:eastAsia="zh-CN"/>
        </w:rPr>
        <w:t>截至</w:t>
      </w:r>
      <w:r>
        <w:rPr>
          <w:rFonts w:hint="eastAsia"/>
        </w:rPr>
        <w:t>20</w:t>
      </w:r>
      <w:r>
        <w:rPr>
          <w:rFonts w:hint="eastAsia"/>
          <w:lang w:val="en-US" w:eastAsia="zh-CN"/>
        </w:rPr>
        <w:t>20</w:t>
      </w:r>
      <w:r>
        <w:rPr>
          <w:rFonts w:hint="eastAsia"/>
        </w:rPr>
        <w:t>年</w:t>
      </w:r>
      <w:r>
        <w:rPr>
          <w:rFonts w:hint="eastAsia"/>
          <w:lang w:val="en-US" w:eastAsia="zh-CN"/>
        </w:rPr>
        <w:t>6月底</w:t>
      </w:r>
      <w:r>
        <w:rPr>
          <w:rFonts w:hint="eastAsia"/>
        </w:rPr>
        <w:t>的实际情况。</w:t>
      </w:r>
    </w:p>
    <w:p>
      <w:pPr>
        <w:spacing w:line="440" w:lineRule="exact"/>
        <w:ind w:left="315" w:leftChars="150" w:right="290" w:rightChars="138" w:firstLine="315" w:firstLineChars="150"/>
      </w:pPr>
      <w:r>
        <w:rPr>
          <w:rFonts w:hint="eastAsia"/>
        </w:rPr>
        <w:t>7</w:t>
      </w:r>
      <w:r>
        <w:t>.融资担保额指融资性担保业务发生额。融资性担保业务参考《融资性担保公司管理暂行办法》规定。</w:t>
      </w:r>
    </w:p>
    <w:p>
      <w:pPr>
        <w:spacing w:line="440" w:lineRule="exact"/>
        <w:ind w:left="315" w:leftChars="150" w:right="290" w:rightChars="138" w:firstLine="315" w:firstLineChars="150"/>
      </w:pPr>
      <w:r>
        <w:rPr>
          <w:rFonts w:hint="eastAsia"/>
        </w:rPr>
        <w:t>8</w:t>
      </w:r>
      <w:r>
        <w:t>.报表填列的金额按四舍五入保留整数，百分比保留两位小数。</w:t>
      </w:r>
    </w:p>
    <w:p>
      <w:pPr>
        <w:spacing w:line="440" w:lineRule="exact"/>
        <w:ind w:left="315" w:leftChars="150" w:right="290" w:rightChars="138" w:firstLine="315" w:firstLineChars="150"/>
      </w:pPr>
      <w:r>
        <w:rPr>
          <w:rFonts w:hint="eastAsia"/>
        </w:rPr>
        <w:t>9</w:t>
      </w:r>
      <w:r>
        <w:t>.</w:t>
      </w:r>
      <w:r>
        <w:rPr>
          <w:rFonts w:hint="eastAsia"/>
        </w:rPr>
        <w:t>风险控制情况第1条</w:t>
      </w:r>
      <w:r>
        <w:t>流动性比例=流动性资产/流动性负债×100。</w:t>
      </w:r>
    </w:p>
    <w:p>
      <w:pPr>
        <w:spacing w:line="440" w:lineRule="exact"/>
        <w:ind w:left="315" w:leftChars="150" w:right="290" w:rightChars="138" w:firstLine="315" w:firstLineChars="150"/>
      </w:pPr>
      <w:r>
        <w:rPr>
          <w:rFonts w:hint="eastAsia"/>
        </w:rPr>
        <w:t>10</w:t>
      </w:r>
      <w:r>
        <w:t>.</w:t>
      </w:r>
      <w:r>
        <w:rPr>
          <w:rFonts w:hint="eastAsia"/>
        </w:rPr>
        <w:t>风险控制情况第2条</w:t>
      </w:r>
      <w:r>
        <w:t>融资性担保放大倍数=融资性担保责任余额/净资产。</w:t>
      </w:r>
    </w:p>
    <w:p>
      <w:pPr>
        <w:spacing w:line="440" w:lineRule="exact"/>
        <w:ind w:left="315" w:leftChars="150" w:right="290" w:rightChars="138" w:firstLine="315" w:firstLineChars="150"/>
      </w:pPr>
      <w:r>
        <w:rPr>
          <w:rFonts w:hint="eastAsia"/>
        </w:rPr>
        <w:t>11</w:t>
      </w:r>
      <w:r>
        <w:t>.</w:t>
      </w:r>
      <w:r>
        <w:rPr>
          <w:rFonts w:hint="eastAsia"/>
        </w:rPr>
        <w:t>风险控制情况</w:t>
      </w:r>
      <w:r>
        <w:t>第3条担保代偿率=</w:t>
      </w:r>
      <w:r>
        <w:rPr>
          <w:rFonts w:hint="eastAsia"/>
        </w:rPr>
        <w:t>年度</w:t>
      </w:r>
      <w:r>
        <w:t>累计担保代偿额/</w:t>
      </w:r>
      <w:r>
        <w:rPr>
          <w:rFonts w:hint="eastAsia"/>
        </w:rPr>
        <w:t>年度</w:t>
      </w:r>
      <w:r>
        <w:t>累计解除的担保额×100；融资性担保代偿率=</w:t>
      </w:r>
      <w:r>
        <w:rPr>
          <w:rFonts w:hint="eastAsia"/>
        </w:rPr>
        <w:t>年度</w:t>
      </w:r>
      <w:r>
        <w:t>累计融资性担保代偿额/</w:t>
      </w:r>
      <w:r>
        <w:rPr>
          <w:rFonts w:hint="eastAsia"/>
        </w:rPr>
        <w:t>年度</w:t>
      </w:r>
      <w:r>
        <w:t>累计解除的融资性担保额×100。</w:t>
      </w:r>
    </w:p>
    <w:p>
      <w:pPr>
        <w:spacing w:line="440" w:lineRule="exact"/>
        <w:ind w:left="315" w:leftChars="150" w:right="290" w:rightChars="138" w:firstLine="315" w:firstLineChars="150"/>
      </w:pPr>
      <w:r>
        <w:rPr>
          <w:rFonts w:hint="eastAsia"/>
        </w:rPr>
        <w:t>12</w:t>
      </w:r>
      <w:r>
        <w:t>.</w:t>
      </w:r>
      <w:r>
        <w:rPr>
          <w:rFonts w:hint="eastAsia"/>
        </w:rPr>
        <w:t>风险控制情况</w:t>
      </w:r>
      <w:r>
        <w:t>第4条担保损失率=</w:t>
      </w:r>
      <w:r>
        <w:rPr>
          <w:rFonts w:hint="eastAsia"/>
        </w:rPr>
        <w:t>年度</w:t>
      </w:r>
      <w:r>
        <w:t>累计担保损失额/</w:t>
      </w:r>
      <w:r>
        <w:rPr>
          <w:rFonts w:hint="eastAsia"/>
        </w:rPr>
        <w:t>年度</w:t>
      </w:r>
      <w:r>
        <w:t>累计解除的担保额×100，融资性担保损失率=</w:t>
      </w:r>
      <w:r>
        <w:rPr>
          <w:rFonts w:hint="eastAsia"/>
        </w:rPr>
        <w:t>年度</w:t>
      </w:r>
      <w:r>
        <w:t>累计</w:t>
      </w:r>
      <w:r>
        <w:rPr>
          <w:rFonts w:hint="eastAsia"/>
        </w:rPr>
        <w:t>融资性</w:t>
      </w:r>
      <w:r>
        <w:t>担保损失额/</w:t>
      </w:r>
      <w:r>
        <w:rPr>
          <w:rFonts w:hint="eastAsia"/>
        </w:rPr>
        <w:t>年度</w:t>
      </w:r>
      <w:r>
        <w:t>累计解除的</w:t>
      </w:r>
      <w:r>
        <w:rPr>
          <w:rFonts w:hint="eastAsia"/>
        </w:rPr>
        <w:t>融资性</w:t>
      </w:r>
      <w:r>
        <w:t>担保额×100，其中</w:t>
      </w:r>
      <w:r>
        <w:rPr>
          <w:rFonts w:hint="eastAsia"/>
        </w:rPr>
        <w:t>年度</w:t>
      </w:r>
      <w:r>
        <w:t>累计（融资性）担保损失额是指担保机构有确凿证据（指有诉讼判决书或仲裁书和强制执行书证明）表明已无法收回的（融资性）担保代偿的损失净额。</w:t>
      </w:r>
    </w:p>
    <w:p>
      <w:pPr>
        <w:spacing w:line="440" w:lineRule="exact"/>
        <w:ind w:left="315" w:leftChars="150" w:right="290" w:rightChars="138" w:firstLine="315" w:firstLineChars="150"/>
        <w:rPr>
          <w:rFonts w:hint="eastAsia"/>
        </w:rPr>
      </w:pPr>
      <w:r>
        <w:rPr>
          <w:rFonts w:hint="eastAsia"/>
        </w:rPr>
        <w:t>13</w:t>
      </w:r>
      <w:r>
        <w:t>.</w:t>
      </w:r>
      <w:r>
        <w:rPr>
          <w:rFonts w:hint="eastAsia"/>
        </w:rPr>
        <w:t xml:space="preserve"> 风险控制情况第6、7、8条指在20</w:t>
      </w:r>
      <w:r>
        <w:rPr>
          <w:rFonts w:hint="eastAsia"/>
          <w:lang w:val="en-US" w:eastAsia="zh-CN"/>
        </w:rPr>
        <w:t>19</w:t>
      </w:r>
      <w:r>
        <w:rPr>
          <w:rFonts w:hint="eastAsia"/>
        </w:rPr>
        <w:t>年</w:t>
      </w:r>
      <w:r>
        <w:rPr>
          <w:rFonts w:hint="eastAsia"/>
          <w:lang w:eastAsia="zh-CN"/>
        </w:rPr>
        <w:t>、</w:t>
      </w:r>
      <w:r>
        <w:rPr>
          <w:rFonts w:hint="eastAsia"/>
          <w:lang w:val="en-US" w:eastAsia="zh-CN"/>
        </w:rPr>
        <w:t>2020年1-6月期间</w:t>
      </w:r>
      <w:r>
        <w:rPr>
          <w:rFonts w:hint="eastAsia"/>
        </w:rPr>
        <w:t>发生的业务中取最大值记录。</w:t>
      </w:r>
    </w:p>
    <w:p>
      <w:pPr>
        <w:spacing w:line="440" w:lineRule="exact"/>
        <w:ind w:left="315" w:leftChars="150" w:right="290" w:rightChars="138" w:firstLine="315" w:firstLineChars="150"/>
        <w:rPr>
          <w:rFonts w:hint="eastAsia"/>
          <w:lang w:val="en-US" w:eastAsia="zh-CN"/>
        </w:rPr>
      </w:pPr>
      <w:r>
        <w:rPr>
          <w:rFonts w:hint="eastAsia"/>
        </w:rPr>
        <w:t>14.</w:t>
      </w:r>
      <w:r>
        <w:rPr>
          <w:rFonts w:hint="eastAsia"/>
          <w:lang w:val="en-US" w:eastAsia="zh-CN"/>
        </w:rPr>
        <w:t>表格所称“以上”、“以下”均含本数。</w:t>
      </w:r>
    </w:p>
    <w:p>
      <w:pPr>
        <w:spacing w:line="440" w:lineRule="exact"/>
        <w:ind w:left="315" w:leftChars="150" w:right="290" w:rightChars="138" w:firstLine="315" w:firstLineChars="150"/>
        <w:rPr>
          <w:rFonts w:hint="eastAsia"/>
          <w:lang w:val="en-US" w:eastAsia="zh-CN"/>
        </w:rPr>
      </w:pPr>
      <w:r>
        <w:rPr>
          <w:rFonts w:hint="eastAsia"/>
          <w:lang w:val="en-US" w:eastAsia="zh-CN"/>
        </w:rPr>
        <w:t>15.小微企业包括小型、微型企业，个体工商户以及小微企业主；农户含新型农业经营主体（如专业大户、家庭农场、农民合作社、农业产业化龙头企业）。</w:t>
      </w:r>
    </w:p>
    <w:p>
      <w:pPr>
        <w:spacing w:line="440" w:lineRule="exact"/>
        <w:ind w:left="315" w:leftChars="150" w:right="290" w:rightChars="138" w:firstLine="315" w:firstLineChars="150"/>
        <w:rPr>
          <w:rFonts w:hint="eastAsia"/>
          <w:lang w:val="en-US" w:eastAsia="zh-CN"/>
        </w:rPr>
      </w:pPr>
      <w:r>
        <w:rPr>
          <w:rFonts w:hint="eastAsia"/>
          <w:lang w:val="en-US" w:eastAsia="zh-CN"/>
        </w:rPr>
        <w:t>16.为AA级以上信用主体及其关联方发行债券提供的担保责任余额的集中度计算权重与业务情况的计算权重不等。</w:t>
      </w:r>
    </w:p>
    <w:p>
      <w:pPr>
        <w:spacing w:line="440" w:lineRule="exact"/>
        <w:ind w:left="315" w:leftChars="150" w:right="290" w:rightChars="138" w:firstLine="315" w:firstLineChars="150"/>
        <w:rPr>
          <w:rFonts w:hint="eastAsia"/>
          <w:lang w:val="en-US" w:eastAsia="zh-CN"/>
        </w:rPr>
      </w:pPr>
      <w:r>
        <w:rPr>
          <w:rFonts w:hint="eastAsia"/>
          <w:lang w:val="en-US" w:eastAsia="zh-CN"/>
        </w:rPr>
        <w:t>17.根据《融资担保责任余额计量办法》第十五条关于“对小微企业和农户融资担保业务在保余额”的规定为实际担保额，未计算权重比，财务人员需严格区分“在保余额”和“责任余额”的定义。</w:t>
      </w:r>
    </w:p>
    <w:p>
      <w:pPr>
        <w:spacing w:line="440" w:lineRule="exact"/>
        <w:ind w:left="315" w:leftChars="150" w:right="290" w:rightChars="138" w:firstLine="315" w:firstLineChars="150"/>
        <w:rPr>
          <w:rFonts w:hint="eastAsia"/>
          <w:lang w:val="en-US" w:eastAsia="zh-CN"/>
        </w:rPr>
      </w:pPr>
      <w:r>
        <w:rPr>
          <w:rFonts w:hint="eastAsia"/>
          <w:lang w:val="en-US" w:eastAsia="zh-CN"/>
        </w:rPr>
        <w:t>18.表格填报数额以截至2020年6月30日的实际情况为准。</w:t>
      </w:r>
    </w:p>
    <w:p>
      <w:pPr>
        <w:spacing w:line="440" w:lineRule="exact"/>
        <w:ind w:left="315" w:leftChars="150" w:right="290" w:rightChars="138" w:firstLine="315" w:firstLineChars="150"/>
      </w:pPr>
      <w:r>
        <w:rPr>
          <w:rFonts w:hint="eastAsia"/>
          <w:lang w:val="en-US" w:eastAsia="zh-CN"/>
        </w:rPr>
        <w:t>19.</w:t>
      </w:r>
      <w:r>
        <w:t>表格中部分科目如填写不下可附表列式。</w:t>
      </w:r>
    </w:p>
    <w:p>
      <w:pPr>
        <w:spacing w:line="440" w:lineRule="exact"/>
        <w:ind w:left="315" w:leftChars="150" w:right="290" w:rightChars="138" w:firstLine="316" w:firstLineChars="150"/>
        <w:rPr>
          <w:rFonts w:hint="eastAsia"/>
          <w:b/>
          <w:bCs/>
          <w:lang w:val="en-US" w:eastAsia="zh-CN"/>
        </w:rPr>
        <w:sectPr>
          <w:footerReference r:id="rId4" w:type="default"/>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b/>
          <w:bCs/>
          <w:lang w:val="en-US" w:eastAsia="zh-CN"/>
        </w:rPr>
        <w:t>20.表格需提交</w:t>
      </w:r>
      <w:bookmarkStart w:id="0" w:name="_GoBack"/>
      <w:bookmarkEnd w:id="0"/>
      <w:r>
        <w:rPr>
          <w:rFonts w:hint="eastAsia"/>
          <w:b/>
          <w:bCs/>
          <w:lang w:val="en-US" w:eastAsia="zh-CN"/>
        </w:rPr>
        <w:t>2019年1-12月一份，2020年1-6月一份，共两份。</w:t>
      </w:r>
    </w:p>
    <w:p>
      <w:pPr>
        <w:jc w:val="center"/>
        <w:rPr>
          <w:rFonts w:hint="eastAsia"/>
          <w:b/>
          <w:bCs/>
          <w:sz w:val="32"/>
          <w:szCs w:val="32"/>
          <w:lang w:val="en-US" w:eastAsia="zh-CN"/>
        </w:rPr>
      </w:pPr>
      <w:r>
        <w:rPr>
          <w:rFonts w:hint="eastAsia"/>
          <w:b/>
          <w:bCs/>
          <w:sz w:val="32"/>
          <w:szCs w:val="32"/>
          <w:lang w:val="en-US" w:eastAsia="zh-CN"/>
        </w:rPr>
        <w:t>深圳市融资担保公司年审登记表</w:t>
      </w:r>
    </w:p>
    <w:p>
      <w:pPr>
        <w:jc w:val="center"/>
        <w:rPr>
          <w:rFonts w:hint="eastAsia"/>
          <w:lang w:val="en-US" w:eastAsia="zh-CN"/>
        </w:rPr>
      </w:pPr>
      <w:r>
        <w:rPr>
          <w:rFonts w:hint="eastAsia"/>
          <w:lang w:val="en-US" w:eastAsia="zh-CN"/>
        </w:rPr>
        <w:t>（20___年___月）</w:t>
      </w:r>
    </w:p>
    <w:p>
      <w:pPr>
        <w:jc w:val="center"/>
        <w:rPr>
          <w:rFonts w:hint="eastAsia"/>
          <w:lang w:val="en-US" w:eastAsia="zh-CN"/>
        </w:rPr>
      </w:pPr>
    </w:p>
    <w:tbl>
      <w:tblPr>
        <w:tblStyle w:val="4"/>
        <w:tblpPr w:leftFromText="180" w:rightFromText="180" w:vertAnchor="page" w:horzAnchor="page" w:tblpXSpec="center" w:tblpY="1998"/>
        <w:tblW w:w="10314" w:type="dxa"/>
        <w:jc w:val="center"/>
        <w:tblInd w:w="0" w:type="dxa"/>
        <w:tblLayout w:type="fixed"/>
        <w:tblCellMar>
          <w:top w:w="0" w:type="dxa"/>
          <w:left w:w="108" w:type="dxa"/>
          <w:bottom w:w="0" w:type="dxa"/>
          <w:right w:w="108" w:type="dxa"/>
        </w:tblCellMar>
      </w:tblPr>
      <w:tblGrid>
        <w:gridCol w:w="846"/>
        <w:gridCol w:w="2239"/>
        <w:gridCol w:w="918"/>
        <w:gridCol w:w="2371"/>
        <w:gridCol w:w="1962"/>
        <w:gridCol w:w="1978"/>
      </w:tblGrid>
      <w:tr>
        <w:tblPrEx>
          <w:tblLayout w:type="fixed"/>
          <w:tblCellMar>
            <w:top w:w="0" w:type="dxa"/>
            <w:left w:w="108" w:type="dxa"/>
            <w:bottom w:w="0" w:type="dxa"/>
            <w:right w:w="108" w:type="dxa"/>
          </w:tblCellMar>
        </w:tblPrEx>
        <w:trPr>
          <w:trHeight w:val="397" w:hRule="exact"/>
          <w:jc w:val="center"/>
        </w:trPr>
        <w:tc>
          <w:tcPr>
            <w:tcW w:w="846" w:type="dxa"/>
            <w:vMerge w:val="restart"/>
            <w:tcBorders>
              <w:top w:val="single" w:color="auto" w:sz="4" w:space="0"/>
              <w:left w:val="single" w:color="auto" w:sz="4" w:space="0"/>
              <w:right w:val="single" w:color="auto"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781" w:beforeLines="250" w:after="781" w:afterLines="250" w:line="260" w:lineRule="exact"/>
              <w:ind w:left="525" w:leftChars="250" w:right="525" w:rightChars="25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公司名称</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482" w:hRule="exact"/>
          <w:jc w:val="center"/>
        </w:trPr>
        <w:tc>
          <w:tcPr>
            <w:tcW w:w="846" w:type="dxa"/>
            <w:vMerge w:val="continue"/>
            <w:tcBorders>
              <w:left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437" w:hRule="exac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办公地址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685"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注册资本（万元）、股权结构（实际控制人</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代持情况）</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91"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rPr>
              <w:t>日常监管（包括年审）存在问题</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金</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使</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用</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金额</w:t>
            </w:r>
            <w:r>
              <w:rPr>
                <w:rFonts w:hint="eastAsia" w:ascii="宋体" w:hAnsi="宋体" w:eastAsia="宋体" w:cs="宋体"/>
                <w:b/>
                <w:bCs/>
                <w:color w:val="000000"/>
                <w:kern w:val="0"/>
                <w:sz w:val="21"/>
                <w:szCs w:val="21"/>
              </w:rPr>
              <w:t>（万元）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1.资产总额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 货币资金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存出保证金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债权投资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其他投资</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其中：长期股权投资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对其他融资担保公司的股权投资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对</w:t>
            </w:r>
            <w:r>
              <w:rPr>
                <w:rFonts w:hint="eastAsia" w:ascii="宋体" w:hAnsi="宋体" w:eastAsia="宋体" w:cs="宋体"/>
                <w:bCs/>
                <w:color w:val="000000"/>
                <w:kern w:val="0"/>
                <w:sz w:val="21"/>
                <w:szCs w:val="21"/>
                <w:lang w:eastAsia="zh-CN"/>
              </w:rPr>
              <w:t>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应收账款</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其中：期限在2年以上（含）的应收代偿款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其他应收款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2.负债总额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其中：借款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应付款项</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存入保证金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3.净资产</w:t>
            </w:r>
            <w:r>
              <w:rPr>
                <w:rFonts w:hint="eastAsia" w:ascii="宋体" w:hAnsi="宋体" w:eastAsia="宋体" w:cs="宋体"/>
                <w:bCs/>
                <w:color w:val="000000"/>
                <w:kern w:val="0"/>
                <w:sz w:val="21"/>
                <w:szCs w:val="21"/>
                <w:lang w:eastAsia="zh-CN"/>
              </w:rPr>
              <w:t>（扣除掉对其他融资担保公司和再担保公司的股权投资）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rPr>
              <w:t>1.</w:t>
            </w:r>
            <w:r>
              <w:rPr>
                <w:rFonts w:hint="eastAsia" w:ascii="宋体" w:hAnsi="宋体" w:eastAsia="宋体" w:cs="宋体"/>
                <w:b/>
                <w:bCs w:val="0"/>
                <w:color w:val="000000"/>
                <w:kern w:val="0"/>
                <w:sz w:val="21"/>
                <w:szCs w:val="21"/>
                <w:lang w:eastAsia="zh-CN"/>
              </w:rPr>
              <w:t>借款类担保业务</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除上述两项的其他借款类担保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互联网借贷担保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融资租赁</w:t>
            </w:r>
            <w:r>
              <w:rPr>
                <w:rFonts w:hint="eastAsia" w:ascii="宋体" w:hAnsi="宋体" w:eastAsia="宋体" w:cs="宋体"/>
                <w:bCs/>
                <w:color w:val="000000"/>
                <w:kern w:val="0"/>
                <w:sz w:val="21"/>
                <w:szCs w:val="21"/>
              </w:rPr>
              <w:t>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商业保理担保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55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票据承兑担保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信用证担保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借款类担保责任余额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500万以下的小微企业借款类担保*75%+</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200万以下的农户借款类担保*75%+其他借款类担保在保余额*100%）</w:t>
            </w:r>
          </w:p>
        </w:tc>
        <w:tc>
          <w:tcPr>
            <w:tcW w:w="39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tbl>
      <w:tblPr>
        <w:tblStyle w:val="4"/>
        <w:tblpPr w:leftFromText="180" w:rightFromText="180" w:vertAnchor="page" w:horzAnchor="page" w:tblpXSpec="center" w:tblpY="1282"/>
        <w:tblW w:w="10562" w:type="dxa"/>
        <w:jc w:val="center"/>
        <w:tblInd w:w="0" w:type="dxa"/>
        <w:tblLayout w:type="fixed"/>
        <w:tblCellMar>
          <w:top w:w="0" w:type="dxa"/>
          <w:left w:w="108" w:type="dxa"/>
          <w:bottom w:w="0" w:type="dxa"/>
          <w:right w:w="108" w:type="dxa"/>
        </w:tblCellMar>
      </w:tblPr>
      <w:tblGrid>
        <w:gridCol w:w="846"/>
        <w:gridCol w:w="6130"/>
        <w:gridCol w:w="1320"/>
        <w:gridCol w:w="471"/>
        <w:gridCol w:w="594"/>
        <w:gridCol w:w="1201"/>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7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2</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债券担保业务</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w:t>
            </w:r>
            <w:r>
              <w:rPr>
                <w:rFonts w:hint="eastAsia" w:ascii="宋体" w:hAnsi="宋体" w:eastAsia="宋体" w:cs="宋体"/>
                <w:bCs/>
                <w:color w:val="000000"/>
                <w:kern w:val="0"/>
                <w:sz w:val="21"/>
                <w:szCs w:val="21"/>
                <w:lang w:val="en-US" w:eastAsia="zh-CN"/>
              </w:rPr>
              <w:t>AA级以上的信用主体发行债券提供的担保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其他发行债券</w:t>
            </w:r>
            <w:r>
              <w:rPr>
                <w:rFonts w:hint="eastAsia" w:ascii="宋体" w:hAnsi="宋体" w:eastAsia="宋体" w:cs="宋体"/>
                <w:bCs/>
                <w:color w:val="000000"/>
                <w:kern w:val="0"/>
                <w:sz w:val="21"/>
                <w:szCs w:val="21"/>
                <w:lang w:val="en-US" w:eastAsia="zh-CN"/>
              </w:rPr>
              <w:t>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发行债券担保责任余额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w:t>
            </w:r>
            <w:r>
              <w:rPr>
                <w:rFonts w:hint="eastAsia" w:ascii="宋体" w:hAnsi="宋体" w:eastAsia="宋体" w:cs="宋体"/>
                <w:bCs/>
                <w:color w:val="000000"/>
                <w:kern w:val="0"/>
                <w:sz w:val="21"/>
                <w:szCs w:val="21"/>
                <w:lang w:val="en-US" w:eastAsia="zh-CN"/>
              </w:rPr>
              <w:t>发行债券担保在保余额*80%+</w:t>
            </w:r>
            <w:r>
              <w:rPr>
                <w:rFonts w:hint="eastAsia" w:ascii="宋体" w:hAnsi="宋体" w:eastAsia="宋体" w:cs="宋体"/>
                <w:bCs/>
                <w:color w:val="000000"/>
                <w:kern w:val="0"/>
                <w:sz w:val="21"/>
                <w:szCs w:val="21"/>
                <w:lang w:eastAsia="zh-CN"/>
              </w:rPr>
              <w:t>其他发行债券担保在保余额</w:t>
            </w:r>
            <w:r>
              <w:rPr>
                <w:rFonts w:hint="eastAsia" w:ascii="宋体" w:hAnsi="宋体" w:eastAsia="宋体" w:cs="宋体"/>
                <w:bCs/>
                <w:color w:val="000000"/>
                <w:kern w:val="0"/>
                <w:sz w:val="21"/>
                <w:szCs w:val="21"/>
                <w:lang w:val="en-US" w:eastAsia="zh-CN"/>
              </w:rPr>
              <w:t>*100%）</w:t>
            </w:r>
          </w:p>
        </w:tc>
        <w:tc>
          <w:tcPr>
            <w:tcW w:w="35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bCs/>
                <w:color w:val="000000"/>
                <w:kern w:val="0"/>
                <w:sz w:val="21"/>
                <w:szCs w:val="21"/>
              </w:rPr>
            </w:pPr>
            <w:r>
              <w:rPr>
                <w:rFonts w:hint="eastAsia" w:ascii="宋体" w:hAnsi="宋体" w:eastAsia="宋体" w:cs="宋体"/>
                <w:b/>
                <w:bCs w:val="0"/>
                <w:color w:val="000000"/>
                <w:kern w:val="0"/>
                <w:sz w:val="21"/>
                <w:szCs w:val="21"/>
                <w:lang w:val="en-US" w:eastAsia="zh-CN"/>
              </w:rPr>
              <w:t>3</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其他融资担保业务</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：为被担保人发行基金产品提供的担保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为被担保人发行信托产品提供的担保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为被担保人开展资产管理计划提供的担保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为被担保人开展资产支持证券提供的担保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其他形成债权债务关系提供的担保</w:t>
            </w:r>
          </w:p>
        </w:tc>
        <w:tc>
          <w:tcPr>
            <w:tcW w:w="179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其他融资担保业务责任余额</w:t>
            </w:r>
            <w:r>
              <w:rPr>
                <w:rFonts w:hint="eastAsia" w:ascii="宋体" w:hAnsi="宋体" w:eastAsia="宋体" w:cs="宋体"/>
                <w:bCs/>
                <w:color w:val="000000"/>
                <w:kern w:val="0"/>
                <w:sz w:val="21"/>
                <w:szCs w:val="21"/>
                <w:lang w:val="en-US" w:eastAsia="zh-CN"/>
              </w:rPr>
              <w:t>（计算公式：其他融资担保业务额*100%）</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融资担保责任余额</w:t>
            </w:r>
            <w:r>
              <w:rPr>
                <w:rFonts w:hint="eastAsia" w:ascii="宋体" w:hAnsi="宋体" w:eastAsia="宋体" w:cs="宋体"/>
                <w:b w:val="0"/>
                <w:bCs/>
                <w:color w:val="000000"/>
                <w:kern w:val="0"/>
                <w:sz w:val="21"/>
                <w:szCs w:val="21"/>
                <w:lang w:val="en-US" w:eastAsia="zh-CN"/>
              </w:rPr>
              <w:t>（计算公式：借款类担保责任余额+发行债券担保责任余额+其他融资担保业务责任余额）</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集</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中</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度</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color w:val="000000"/>
                <w:kern w:val="0"/>
                <w:sz w:val="21"/>
                <w:szCs w:val="21"/>
              </w:rPr>
              <w:t>项  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（万元）</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被担保人</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对同一被担保人的融资担保责任余额超过净资产</w:t>
            </w:r>
            <w:r>
              <w:rPr>
                <w:rFonts w:hint="eastAsia" w:ascii="宋体" w:hAnsi="宋体" w:eastAsia="宋体" w:cs="宋体"/>
                <w:bCs/>
                <w:color w:val="000000"/>
                <w:kern w:val="0"/>
                <w:sz w:val="21"/>
                <w:szCs w:val="21"/>
                <w:lang w:val="en-US" w:eastAsia="zh-CN"/>
              </w:rPr>
              <w:t>10%的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AA级以上信用主体发行债券提供的担保责任余额超过净资产10%的（计算公式：</w:t>
            </w:r>
            <w:r>
              <w:rPr>
                <w:rFonts w:hint="eastAsia" w:ascii="宋体" w:hAnsi="宋体" w:eastAsia="宋体" w:cs="宋体"/>
                <w:bCs/>
                <w:color w:val="000000"/>
                <w:kern w:val="0"/>
                <w:sz w:val="21"/>
                <w:szCs w:val="21"/>
                <w:lang w:eastAsia="zh-CN"/>
              </w:rPr>
              <w:t>被担保人主体信用评级</w:t>
            </w:r>
            <w:r>
              <w:rPr>
                <w:rFonts w:hint="eastAsia" w:ascii="宋体" w:hAnsi="宋体" w:eastAsia="宋体" w:cs="宋体"/>
                <w:bCs/>
                <w:color w:val="000000"/>
                <w:kern w:val="0"/>
                <w:sz w:val="21"/>
                <w:szCs w:val="21"/>
                <w:lang w:val="en-US" w:eastAsia="zh-CN"/>
              </w:rPr>
              <w:t>AA级以上的发行债券担保在保余额*60%）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对同一被担保人及其关联方的融资担保责任余额超过净资产</w:t>
            </w:r>
            <w:r>
              <w:rPr>
                <w:rFonts w:hint="eastAsia" w:ascii="宋体" w:hAnsi="宋体" w:eastAsia="宋体" w:cs="宋体"/>
                <w:bCs/>
                <w:color w:val="000000"/>
                <w:kern w:val="0"/>
                <w:sz w:val="21"/>
                <w:szCs w:val="21"/>
                <w:lang w:val="en-US" w:eastAsia="zh-CN"/>
              </w:rPr>
              <w:t>15%的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AA级以上信用主体及其关联方发行债券提供的担保责任余额超过净资产15%的（计算公式：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被担保人及其关联方</w:t>
            </w:r>
            <w:r>
              <w:rPr>
                <w:rFonts w:hint="eastAsia" w:ascii="宋体" w:hAnsi="宋体" w:eastAsia="宋体" w:cs="宋体"/>
                <w:bCs/>
                <w:color w:val="000000"/>
                <w:kern w:val="0"/>
                <w:sz w:val="21"/>
                <w:szCs w:val="21"/>
                <w:lang w:val="en-US" w:eastAsia="zh-CN"/>
              </w:rPr>
              <w:t>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519"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放</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倍</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一</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10倍</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是否超过净资产的10倍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lang w:eastAsia="zh-CN"/>
              </w:rPr>
              <w:t>特</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别</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15倍</w:t>
            </w:r>
          </w:p>
        </w:tc>
      </w:tr>
      <w:tr>
        <w:tblPrEx>
          <w:tblLayout w:type="fixed"/>
          <w:tblCellMar>
            <w:top w:w="0" w:type="dxa"/>
            <w:left w:w="108" w:type="dxa"/>
            <w:bottom w:w="0" w:type="dxa"/>
            <w:right w:w="108"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对小微企业和农户融资担保业务在保余额占比</w:t>
            </w:r>
            <w:r>
              <w:rPr>
                <w:rFonts w:hint="eastAsia" w:ascii="宋体" w:hAnsi="宋体" w:eastAsia="宋体" w:cs="宋体"/>
                <w:bCs/>
                <w:color w:val="000000"/>
                <w:kern w:val="0"/>
                <w:sz w:val="21"/>
                <w:szCs w:val="21"/>
                <w:lang w:val="en-US" w:eastAsia="zh-CN"/>
              </w:rPr>
              <w:t>50%以上且户数占比80%以上的</w:t>
            </w: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是否超过净资产的15倍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r>
    </w:tbl>
    <w:p/>
    <w:p/>
    <w:p/>
    <w:p/>
    <w:p/>
    <w:p/>
    <w:p/>
    <w:p/>
    <w:p/>
    <w:p/>
    <w:p/>
    <w:p/>
    <w:p/>
    <w:p/>
    <w:p/>
    <w:p/>
    <w:p/>
    <w:p/>
    <w:p/>
    <w:p/>
    <w:p/>
    <w:p/>
    <w:p/>
    <w:p/>
    <w:p/>
    <w:p/>
    <w:p/>
    <w:p/>
    <w:p/>
    <w:p/>
    <w:p/>
    <w:p/>
    <w:p/>
    <w:p/>
    <w:p/>
    <w:p/>
    <w:p/>
    <w:p/>
    <w:p/>
    <w:p/>
    <w:p/>
    <w:p/>
    <w:p/>
    <w:p/>
    <w:p/>
    <w:p/>
    <w:p/>
    <w:p/>
    <w:p/>
    <w:p/>
    <w:tbl>
      <w:tblPr>
        <w:tblStyle w:val="4"/>
        <w:tblpPr w:leftFromText="180" w:rightFromText="180" w:vertAnchor="page" w:horzAnchor="page" w:tblpX="829" w:tblpY="74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0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restart"/>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资</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lang w:eastAsia="zh-CN"/>
              </w:rPr>
              <w:t>产</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情</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况</w:t>
            </w: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1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现金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银行存款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存出保证金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货币市场基金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国债、金融债券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债券信用评级AAA级的债券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其他货币资金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2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商业银行理财产品（不含可随时赎回或三个月内到期的商业银行理财产品）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债券信用评级AA级、AA+级的债券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对其他融资担保公司或再担保公司的股权投资</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20%部分（包括但不限于优先股和普通股）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40%部分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不超过净资产</w:t>
            </w:r>
            <w:r>
              <w:rPr>
                <w:rFonts w:hint="eastAsia" w:asciiTheme="minorEastAsia" w:hAnsiTheme="minorEastAsia" w:eastAsiaTheme="minorEastAsia" w:cstheme="minorEastAsia"/>
                <w:bCs/>
                <w:color w:val="000000"/>
                <w:kern w:val="0"/>
                <w:sz w:val="21"/>
                <w:szCs w:val="21"/>
                <w:lang w:val="en-US" w:eastAsia="zh-CN"/>
              </w:rPr>
              <w:t>30%的自用型房产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val="en-US" w:eastAsia="zh-CN"/>
              </w:rPr>
              <w:fldChar w:fldCharType="begin"/>
            </w:r>
            <w:r>
              <w:rPr>
                <w:rFonts w:hint="eastAsia" w:asciiTheme="minorEastAsia" w:hAnsiTheme="minorEastAsia" w:eastAsiaTheme="minorEastAsia" w:cstheme="minorEastAsia"/>
                <w:b/>
                <w:bCs/>
                <w:color w:val="000000"/>
                <w:kern w:val="0"/>
                <w:sz w:val="21"/>
                <w:szCs w:val="21"/>
                <w:lang w:val="en-US" w:eastAsia="zh-CN"/>
              </w:rPr>
              <w:instrText xml:space="preserve"> = 3 \* ROMAN \* MERGEFORMAT </w:instrText>
            </w:r>
            <w:r>
              <w:rPr>
                <w:rFonts w:hint="eastAsia" w:asciiTheme="minorEastAsia" w:hAnsiTheme="minorEastAsia" w:eastAsiaTheme="minorEastAsia" w:cstheme="minorEastAsia"/>
                <w:b/>
                <w:bCs/>
                <w:color w:val="000000"/>
                <w:kern w:val="0"/>
                <w:sz w:val="21"/>
                <w:szCs w:val="21"/>
                <w:lang w:val="en-US" w:eastAsia="zh-CN"/>
              </w:rPr>
              <w:fldChar w:fldCharType="separate"/>
            </w:r>
            <w:r>
              <w:rPr>
                <w:rFonts w:hint="eastAsia" w:asciiTheme="minorEastAsia" w:hAnsiTheme="minorEastAsia" w:eastAsiaTheme="minorEastAsia" w:cstheme="minorEastAsia"/>
                <w:sz w:val="21"/>
                <w:szCs w:val="21"/>
              </w:rPr>
              <w:t>III</w:t>
            </w:r>
            <w:r>
              <w:rPr>
                <w:rFonts w:hint="eastAsia" w:asciiTheme="minorEastAsia" w:hAnsiTheme="minorEastAsia" w:eastAsiaTheme="minorEastAsia" w:cstheme="minorEastAsia"/>
                <w:b/>
                <w:bCs/>
                <w:color w:val="000000"/>
                <w:kern w:val="0"/>
                <w:sz w:val="21"/>
                <w:szCs w:val="21"/>
                <w:lang w:val="en-US" w:eastAsia="zh-CN"/>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80%部分以及其他股权类资产（包括但不限于优先股和普通股）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债券信用评级AA-以下或无债券信用评级的债券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投资购买的信托产品、资产管理计划、基金产品、资产支持证券等</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60%部分，以及其他委托贷款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非自用型房产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自用型房产超出净资产</w:t>
            </w:r>
            <w:r>
              <w:rPr>
                <w:rFonts w:hint="eastAsia" w:asciiTheme="minorEastAsia" w:hAnsiTheme="minorEastAsia" w:eastAsiaTheme="minorEastAsia" w:cstheme="minorEastAsia"/>
                <w:bCs/>
                <w:color w:val="000000"/>
                <w:kern w:val="0"/>
                <w:sz w:val="21"/>
                <w:szCs w:val="21"/>
                <w:lang w:val="en-US" w:eastAsia="zh-CN"/>
              </w:rPr>
              <w:t>30%的部分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val="en-US" w:eastAsia="zh-CN"/>
              </w:rPr>
              <w:t>其他应收款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tbl>
      <w:tblPr>
        <w:tblStyle w:val="4"/>
        <w:tblpPr w:leftFromText="180" w:rightFromText="180" w:vertAnchor="page" w:horzAnchor="page" w:tblpXSpec="center" w:tblpY="1311"/>
        <w:tblW w:w="11140" w:type="dxa"/>
        <w:jc w:val="center"/>
        <w:tblInd w:w="0" w:type="dxa"/>
        <w:tblLayout w:type="fixed"/>
        <w:tblCellMar>
          <w:top w:w="0" w:type="dxa"/>
          <w:left w:w="108" w:type="dxa"/>
          <w:bottom w:w="0" w:type="dxa"/>
          <w:right w:w="108" w:type="dxa"/>
        </w:tblCellMar>
      </w:tblPr>
      <w:tblGrid>
        <w:gridCol w:w="846"/>
        <w:gridCol w:w="6082"/>
        <w:gridCol w:w="4212"/>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比</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例</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0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未到期责任准备金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担保赔偿准备金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资产总额</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应收代偿款</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评  估  指  标</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结</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果</w:t>
            </w: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r>
              <w:rPr>
                <w:rFonts w:hint="eastAsia" w:ascii="宋体" w:hAnsi="宋体" w:eastAsia="宋体" w:cs="宋体"/>
                <w:bCs/>
                <w:color w:val="000000"/>
                <w:kern w:val="0"/>
                <w:sz w:val="21"/>
                <w:szCs w:val="21"/>
                <w:lang w:eastAsia="zh-CN"/>
              </w:rPr>
              <w:t>未到期责任准备金</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eastAsia="zh-CN"/>
              </w:rPr>
              <w:t>担保赔偿准备金</w:t>
            </w:r>
            <w:r>
              <w:rPr>
                <w:rFonts w:hint="eastAsia" w:ascii="宋体" w:hAnsi="宋体" w:eastAsia="宋体" w:cs="宋体"/>
                <w:b w:val="0"/>
                <w:bCs/>
                <w:color w:val="000000"/>
                <w:kern w:val="0"/>
                <w:sz w:val="21"/>
                <w:szCs w:val="21"/>
                <w:lang w:val="en-US" w:eastAsia="zh-CN"/>
              </w:rPr>
              <w:t>之和是否低于资产总额的60%</w:t>
            </w:r>
            <w:r>
              <w:rPr>
                <w:rFonts w:hint="eastAsia" w:ascii="宋体" w:hAnsi="宋体" w:eastAsia="宋体" w:cs="宋体"/>
                <w:b w:val="0"/>
                <w:bCs/>
                <w:color w:val="000000"/>
                <w:kern w:val="0"/>
                <w:sz w:val="21"/>
                <w:szCs w:val="21"/>
              </w:rPr>
              <w:t xml:space="preserve"> </w:t>
            </w:r>
            <w:r>
              <w:rPr>
                <w:rFonts w:hint="eastAsia" w:ascii="宋体" w:hAnsi="宋体" w:eastAsia="宋体" w:cs="宋体"/>
                <w:b w:val="0"/>
                <w:bCs/>
                <w:color w:val="000000"/>
                <w:kern w:val="0"/>
                <w:sz w:val="21"/>
                <w:szCs w:val="21"/>
                <w:lang w:val="en-US" w:eastAsia="zh-CN"/>
              </w:rPr>
              <w:t xml:space="preserve"> </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w:t>
            </w: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2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级资产之和是否低于资产总额扣除应收代偿款后的70%</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级资产是否低于资产总额扣除应收代偿款后的20%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3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w:t>
            </w:r>
            <w:r>
              <w:rPr>
                <w:rFonts w:hint="eastAsia" w:ascii="宋体" w:hAnsi="宋体" w:eastAsia="宋体" w:cs="宋体"/>
                <w:b/>
                <w:bCs w:val="0"/>
                <w:color w:val="000000"/>
                <w:kern w:val="0"/>
                <w:sz w:val="21"/>
                <w:szCs w:val="21"/>
                <w:lang w:val="en-US" w:eastAsia="zh-CN"/>
              </w:rPr>
              <w:t>高于</w:t>
            </w:r>
            <w:r>
              <w:rPr>
                <w:rFonts w:hint="eastAsia" w:ascii="宋体" w:hAnsi="宋体" w:eastAsia="宋体" w:cs="宋体"/>
                <w:b w:val="0"/>
                <w:bCs/>
                <w:color w:val="000000"/>
                <w:kern w:val="0"/>
                <w:sz w:val="21"/>
                <w:szCs w:val="21"/>
                <w:lang w:val="en-US" w:eastAsia="zh-CN"/>
              </w:rPr>
              <w:t>资产总额扣除应收代偿款后的30%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790" w:hRule="atLeast"/>
          <w:jc w:val="center"/>
        </w:trPr>
        <w:tc>
          <w:tcPr>
            <w:tcW w:w="111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我公司确认以上内容属实，并保证：所提交材料（包括谈话）内容真实，不含虚假成分。如有虚假或隐瞒,愿意承担相应法律责任。</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 xml:space="preserve">  法定代表人签字：                     （公章）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年     月     日</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sectPr>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8251A"/>
    <w:rsid w:val="1A3D20F7"/>
    <w:rsid w:val="270216DF"/>
    <w:rsid w:val="2BC910A4"/>
    <w:rsid w:val="38375A1A"/>
    <w:rsid w:val="51D35F24"/>
    <w:rsid w:val="55A2210D"/>
    <w:rsid w:val="676D66F3"/>
    <w:rsid w:val="73A852C3"/>
    <w:rsid w:val="7A78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2018-10-18T10:03:00Z</dcterms:created>
  <dc:creator>林锦荣</dc:creator>
  <cp:lastModifiedBy>尹赫</cp:lastModifiedBy>
  <dcterms:modified xsi:type="dcterms:W3CDTF">2020-08-13T01:47:52Z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