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楷体_GB2312"/>
          <w:sz w:val="30"/>
          <w:szCs w:val="30"/>
        </w:rPr>
      </w:pPr>
    </w:p>
    <w:p>
      <w:pPr>
        <w:jc w:val="center"/>
        <w:rPr>
          <w:rFonts w:ascii="宋体" w:hAnsi="宋体"/>
          <w:sz w:val="84"/>
        </w:rPr>
      </w:pPr>
    </w:p>
    <w:p>
      <w:pPr>
        <w:jc w:val="center"/>
        <w:rPr>
          <w:rFonts w:ascii="宋体" w:hAnsi="宋体"/>
          <w:sz w:val="84"/>
        </w:rPr>
      </w:pPr>
    </w:p>
    <w:p>
      <w:pPr>
        <w:pStyle w:val="12"/>
        <w:rPr>
          <w:rFonts w:ascii="仿宋_GB2312" w:eastAsia="仿宋_GB2312"/>
          <w:sz w:val="84"/>
          <w:szCs w:val="84"/>
        </w:rPr>
      </w:pPr>
      <w:r>
        <w:rPr>
          <w:rFonts w:hint="eastAsia" w:ascii="仿宋_GB2312" w:eastAsia="仿宋_GB2312"/>
          <w:sz w:val="84"/>
          <w:szCs w:val="84"/>
        </w:rPr>
        <w:t>竞争性磋商采购文件</w:t>
      </w:r>
    </w:p>
    <w:p>
      <w:pPr>
        <w:spacing w:line="620" w:lineRule="exact"/>
        <w:rPr>
          <w:rFonts w:ascii="宋体" w:hAnsi="宋体"/>
          <w:sz w:val="84"/>
        </w:rPr>
      </w:pPr>
    </w:p>
    <w:p>
      <w:pPr>
        <w:spacing w:line="620" w:lineRule="exact"/>
        <w:rPr>
          <w:rFonts w:ascii="宋体" w:hAnsi="宋体"/>
          <w:sz w:val="84"/>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620" w:lineRule="exact"/>
        <w:rPr>
          <w:rFonts w:ascii="宋体" w:hAnsi="宋体"/>
          <w:sz w:val="32"/>
          <w:szCs w:val="32"/>
        </w:rPr>
      </w:pPr>
    </w:p>
    <w:p>
      <w:pPr>
        <w:spacing w:line="480" w:lineRule="auto"/>
        <w:ind w:firstLine="1280" w:firstLineChars="400"/>
        <w:jc w:val="left"/>
        <w:rPr>
          <w:rFonts w:ascii="宋体" w:hAnsi="宋体"/>
          <w:sz w:val="32"/>
          <w:szCs w:val="32"/>
        </w:rPr>
      </w:pPr>
      <w:r>
        <w:rPr>
          <w:rFonts w:hint="eastAsia" w:ascii="宋体" w:hAnsi="宋体"/>
          <w:sz w:val="32"/>
          <w:szCs w:val="32"/>
        </w:rPr>
        <w:t>项目名称：2020年深圳市融资租赁行业清理规范工作</w:t>
      </w:r>
    </w:p>
    <w:p>
      <w:pPr>
        <w:spacing w:line="480" w:lineRule="auto"/>
        <w:ind w:firstLine="1280" w:firstLineChars="400"/>
        <w:jc w:val="left"/>
        <w:rPr>
          <w:rFonts w:ascii="宋体" w:hAnsi="宋体"/>
          <w:sz w:val="32"/>
          <w:szCs w:val="32"/>
        </w:rPr>
      </w:pPr>
      <w:r>
        <w:rPr>
          <w:rFonts w:hint="eastAsia" w:ascii="宋体" w:hAnsi="宋体"/>
          <w:sz w:val="32"/>
          <w:szCs w:val="32"/>
        </w:rPr>
        <w:t>采购单位：深圳市地方金融监督管理局</w:t>
      </w:r>
    </w:p>
    <w:p>
      <w:pPr>
        <w:spacing w:line="480" w:lineRule="auto"/>
        <w:ind w:firstLine="1280" w:firstLineChars="400"/>
        <w:jc w:val="left"/>
        <w:rPr>
          <w:rFonts w:ascii="宋体" w:hAnsi="宋体"/>
          <w:sz w:val="32"/>
          <w:szCs w:val="32"/>
        </w:rPr>
      </w:pPr>
      <w:r>
        <w:rPr>
          <w:rFonts w:hint="eastAsia" w:ascii="宋体" w:hAnsi="宋体"/>
          <w:sz w:val="32"/>
          <w:szCs w:val="32"/>
        </w:rPr>
        <w:t>时    间：二○二〇年八月十</w:t>
      </w:r>
      <w:r>
        <w:rPr>
          <w:rFonts w:hint="eastAsia" w:ascii="宋体" w:hAnsi="宋体"/>
          <w:sz w:val="32"/>
          <w:szCs w:val="32"/>
          <w:lang w:val="en-US" w:eastAsia="zh-CN"/>
        </w:rPr>
        <w:t>三</w:t>
      </w:r>
      <w:r>
        <w:rPr>
          <w:rFonts w:hint="eastAsia" w:ascii="宋体" w:hAnsi="宋体"/>
          <w:sz w:val="32"/>
          <w:szCs w:val="32"/>
        </w:rPr>
        <w:t>日</w:t>
      </w:r>
    </w:p>
    <w:p>
      <w:pPr>
        <w:pStyle w:val="4"/>
        <w:snapToGrid w:val="0"/>
        <w:spacing w:line="480" w:lineRule="auto"/>
        <w:jc w:val="center"/>
        <w:rPr>
          <w:rFonts w:hAnsi="宋体"/>
          <w:sz w:val="32"/>
          <w:szCs w:val="32"/>
        </w:rPr>
        <w:sectPr>
          <w:headerReference r:id="rId3" w:type="default"/>
          <w:footerReference r:id="rId4" w:type="even"/>
          <w:pgSz w:w="11907" w:h="16840"/>
          <w:pgMar w:top="1701" w:right="1588" w:bottom="1701" w:left="1588" w:header="851" w:footer="851" w:gutter="0"/>
          <w:pgNumType w:start="1"/>
          <w:cols w:space="720" w:num="1"/>
          <w:docGrid w:type="lines" w:linePitch="326" w:charSpace="0"/>
        </w:sectPr>
      </w:pPr>
    </w:p>
    <w:p>
      <w:pPr>
        <w:pStyle w:val="4"/>
        <w:snapToGrid w:val="0"/>
        <w:spacing w:line="480" w:lineRule="auto"/>
        <w:jc w:val="center"/>
        <w:rPr>
          <w:rFonts w:ascii="仿宋_GB2312" w:hAnsi="宋体" w:eastAsia="仿宋_GB2312"/>
          <w:b/>
          <w:sz w:val="36"/>
          <w:szCs w:val="36"/>
        </w:rPr>
      </w:pPr>
      <w:r>
        <w:rPr>
          <w:rFonts w:hint="eastAsia" w:ascii="仿宋_GB2312" w:hAnsi="宋体" w:eastAsia="仿宋_GB2312"/>
          <w:b/>
          <w:sz w:val="36"/>
          <w:szCs w:val="36"/>
        </w:rPr>
        <w:t>目  录</w:t>
      </w:r>
    </w:p>
    <w:p>
      <w:pPr>
        <w:pStyle w:val="7"/>
        <w:tabs>
          <w:tab w:val="right" w:leader="dot" w:pos="8721"/>
        </w:tabs>
        <w:rPr>
          <w:rFonts w:ascii="仿宋_GB2312" w:eastAsia="仿宋_GB2312"/>
          <w:b w:val="0"/>
          <w:bCs w:val="0"/>
          <w:sz w:val="32"/>
          <w:szCs w:val="32"/>
        </w:rPr>
      </w:pPr>
      <w:r>
        <w:rPr>
          <w:rFonts w:hint="eastAsia" w:ascii="仿宋_GB2312" w:hAnsi="宋体" w:eastAsia="仿宋_GB2312"/>
          <w:b w:val="0"/>
          <w:bCs w:val="0"/>
          <w:sz w:val="32"/>
          <w:szCs w:val="32"/>
        </w:rPr>
        <w:fldChar w:fldCharType="begin"/>
      </w:r>
      <w:r>
        <w:rPr>
          <w:rFonts w:hint="eastAsia" w:ascii="仿宋_GB2312" w:hAnsi="宋体" w:eastAsia="仿宋_GB2312"/>
          <w:b w:val="0"/>
          <w:bCs w:val="0"/>
          <w:sz w:val="32"/>
          <w:szCs w:val="32"/>
        </w:rPr>
        <w:instrText xml:space="preserve"> TOC \o "1-3" \h \z \u </w:instrText>
      </w:r>
      <w:r>
        <w:rPr>
          <w:rFonts w:hint="eastAsia" w:ascii="仿宋_GB2312" w:hAnsi="宋体" w:eastAsia="仿宋_GB2312"/>
          <w:b w:val="0"/>
          <w:bCs w:val="0"/>
          <w:sz w:val="32"/>
          <w:szCs w:val="32"/>
        </w:rPr>
        <w:fldChar w:fldCharType="separate"/>
      </w:r>
      <w:r>
        <w:rPr>
          <w:b w:val="0"/>
          <w:bCs w:val="0"/>
        </w:rPr>
        <w:fldChar w:fldCharType="begin"/>
      </w:r>
      <w:r>
        <w:rPr>
          <w:b w:val="0"/>
          <w:bCs w:val="0"/>
        </w:rPr>
        <w:instrText xml:space="preserve"> HYPERLINK \l "_Toc11772542" </w:instrText>
      </w:r>
      <w:r>
        <w:rPr>
          <w:b w:val="0"/>
          <w:bCs w:val="0"/>
        </w:rPr>
        <w:fldChar w:fldCharType="separate"/>
      </w:r>
      <w:r>
        <w:rPr>
          <w:rStyle w:val="11"/>
          <w:rFonts w:hint="eastAsia" w:ascii="仿宋_GB2312" w:hAnsi="宋体" w:eastAsia="仿宋_GB2312"/>
          <w:b w:val="0"/>
          <w:bCs w:val="0"/>
          <w:sz w:val="32"/>
          <w:szCs w:val="32"/>
        </w:rPr>
        <w:t>竞争性磋商采购公告</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_Toc11772542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pPr>
        <w:pStyle w:val="7"/>
        <w:tabs>
          <w:tab w:val="right" w:leader="dot" w:pos="8721"/>
        </w:tabs>
        <w:rPr>
          <w:rFonts w:ascii="仿宋_GB2312" w:eastAsia="仿宋_GB2312"/>
          <w:b w:val="0"/>
          <w:bCs w:val="0"/>
          <w:sz w:val="32"/>
          <w:szCs w:val="32"/>
        </w:rPr>
      </w:pPr>
      <w:r>
        <w:rPr>
          <w:b w:val="0"/>
          <w:bCs w:val="0"/>
        </w:rPr>
        <w:fldChar w:fldCharType="begin"/>
      </w:r>
      <w:r>
        <w:rPr>
          <w:b w:val="0"/>
          <w:bCs w:val="0"/>
        </w:rPr>
        <w:instrText xml:space="preserve"> HYPERLINK \l "_Toc11772543" </w:instrText>
      </w:r>
      <w:r>
        <w:rPr>
          <w:b w:val="0"/>
          <w:bCs w:val="0"/>
        </w:rPr>
        <w:fldChar w:fldCharType="separate"/>
      </w:r>
      <w:r>
        <w:rPr>
          <w:rStyle w:val="11"/>
          <w:rFonts w:hint="eastAsia" w:ascii="仿宋_GB2312" w:hAnsi="宋体" w:eastAsia="仿宋_GB2312"/>
          <w:b w:val="0"/>
          <w:bCs w:val="0"/>
          <w:sz w:val="32"/>
          <w:szCs w:val="32"/>
        </w:rPr>
        <w:t>第一章 供应商须知</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_Toc11772543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4</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pPr>
        <w:pStyle w:val="7"/>
        <w:tabs>
          <w:tab w:val="right" w:leader="dot" w:pos="8721"/>
        </w:tabs>
        <w:rPr>
          <w:rFonts w:ascii="仿宋_GB2312" w:eastAsia="仿宋_GB2312"/>
          <w:b w:val="0"/>
          <w:bCs w:val="0"/>
          <w:sz w:val="32"/>
          <w:szCs w:val="32"/>
        </w:rPr>
      </w:pPr>
      <w:r>
        <w:rPr>
          <w:b w:val="0"/>
          <w:bCs w:val="0"/>
        </w:rPr>
        <w:fldChar w:fldCharType="begin"/>
      </w:r>
      <w:r>
        <w:rPr>
          <w:b w:val="0"/>
          <w:bCs w:val="0"/>
        </w:rPr>
        <w:instrText xml:space="preserve"> HYPERLINK \l "_Toc11772544" </w:instrText>
      </w:r>
      <w:r>
        <w:rPr>
          <w:b w:val="0"/>
          <w:bCs w:val="0"/>
        </w:rPr>
        <w:fldChar w:fldCharType="separate"/>
      </w:r>
      <w:r>
        <w:rPr>
          <w:rStyle w:val="11"/>
          <w:rFonts w:hint="eastAsia" w:ascii="仿宋_GB2312" w:hAnsi="宋体" w:eastAsia="仿宋_GB2312"/>
          <w:b w:val="0"/>
          <w:bCs w:val="0"/>
          <w:sz w:val="32"/>
          <w:szCs w:val="32"/>
        </w:rPr>
        <w:t>第二章 评标办法</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_Toc11772544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8</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pPr>
        <w:pStyle w:val="7"/>
        <w:tabs>
          <w:tab w:val="right" w:leader="dot" w:pos="8721"/>
        </w:tabs>
        <w:rPr>
          <w:rFonts w:ascii="仿宋_GB2312" w:eastAsia="仿宋_GB2312"/>
          <w:b w:val="0"/>
          <w:bCs w:val="0"/>
          <w:sz w:val="32"/>
          <w:szCs w:val="32"/>
        </w:rPr>
      </w:pPr>
      <w:r>
        <w:rPr>
          <w:b w:val="0"/>
          <w:bCs w:val="0"/>
        </w:rPr>
        <w:fldChar w:fldCharType="begin"/>
      </w:r>
      <w:r>
        <w:rPr>
          <w:b w:val="0"/>
          <w:bCs w:val="0"/>
        </w:rPr>
        <w:instrText xml:space="preserve"> HYPERLINK \l "_Toc11772545" </w:instrText>
      </w:r>
      <w:r>
        <w:rPr>
          <w:b w:val="0"/>
          <w:bCs w:val="0"/>
        </w:rPr>
        <w:fldChar w:fldCharType="separate"/>
      </w:r>
      <w:r>
        <w:rPr>
          <w:rStyle w:val="11"/>
          <w:rFonts w:hint="eastAsia" w:ascii="仿宋_GB2312" w:hAnsi="宋体" w:eastAsia="仿宋_GB2312"/>
          <w:b w:val="0"/>
          <w:bCs w:val="0"/>
          <w:sz w:val="32"/>
          <w:szCs w:val="32"/>
        </w:rPr>
        <w:t>第三章 采购项目技术规范及要求</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_Toc11772545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9</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pPr>
        <w:pStyle w:val="7"/>
        <w:tabs>
          <w:tab w:val="right" w:leader="dot" w:pos="8721"/>
        </w:tabs>
        <w:rPr>
          <w:rFonts w:ascii="仿宋_GB2312" w:eastAsia="仿宋_GB2312"/>
          <w:b w:val="0"/>
          <w:bCs w:val="0"/>
          <w:sz w:val="32"/>
          <w:szCs w:val="32"/>
        </w:rPr>
      </w:pPr>
      <w:r>
        <w:rPr>
          <w:b w:val="0"/>
          <w:bCs w:val="0"/>
        </w:rPr>
        <w:fldChar w:fldCharType="begin"/>
      </w:r>
      <w:r>
        <w:rPr>
          <w:b w:val="0"/>
          <w:bCs w:val="0"/>
        </w:rPr>
        <w:instrText xml:space="preserve"> HYPERLINK \l "_Toc11772546" </w:instrText>
      </w:r>
      <w:r>
        <w:rPr>
          <w:b w:val="0"/>
          <w:bCs w:val="0"/>
        </w:rPr>
        <w:fldChar w:fldCharType="separate"/>
      </w:r>
      <w:r>
        <w:rPr>
          <w:rStyle w:val="11"/>
          <w:rFonts w:hint="eastAsia" w:ascii="仿宋_GB2312" w:hAnsi="宋体" w:eastAsia="仿宋_GB2312"/>
          <w:b w:val="0"/>
          <w:bCs w:val="0"/>
          <w:sz w:val="32"/>
          <w:szCs w:val="32"/>
        </w:rPr>
        <w:t>第四章 响应文件基本格式</w:t>
      </w:r>
      <w:r>
        <w:rPr>
          <w:rFonts w:hint="eastAsia" w:ascii="仿宋_GB2312" w:eastAsia="仿宋_GB2312"/>
          <w:b w:val="0"/>
          <w:bCs w:val="0"/>
          <w:sz w:val="32"/>
          <w:szCs w:val="32"/>
        </w:rPr>
        <w:tab/>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PAGEREF _Toc11772546 \h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11</w:t>
      </w:r>
      <w:r>
        <w:rPr>
          <w:rFonts w:hint="eastAsia" w:ascii="仿宋_GB2312" w:eastAsia="仿宋_GB2312"/>
          <w:b w:val="0"/>
          <w:bCs w:val="0"/>
          <w:sz w:val="32"/>
          <w:szCs w:val="32"/>
        </w:rPr>
        <w:fldChar w:fldCharType="end"/>
      </w:r>
      <w:r>
        <w:rPr>
          <w:rFonts w:hint="eastAsia" w:ascii="仿宋_GB2312" w:eastAsia="仿宋_GB2312"/>
          <w:b w:val="0"/>
          <w:bCs w:val="0"/>
          <w:sz w:val="32"/>
          <w:szCs w:val="32"/>
        </w:rPr>
        <w:fldChar w:fldCharType="end"/>
      </w:r>
    </w:p>
    <w:p>
      <w:pPr>
        <w:spacing w:line="480" w:lineRule="auto"/>
        <w:ind w:firstLine="1280" w:firstLineChars="400"/>
        <w:jc w:val="left"/>
        <w:rPr>
          <w:rFonts w:ascii="宋体" w:hAnsi="宋体"/>
          <w:sz w:val="32"/>
          <w:szCs w:val="32"/>
        </w:rPr>
        <w:sectPr>
          <w:footerReference r:id="rId5" w:type="default"/>
          <w:pgSz w:w="11907" w:h="16840"/>
          <w:pgMar w:top="1701" w:right="1588" w:bottom="1701" w:left="1588" w:header="851" w:footer="851" w:gutter="0"/>
          <w:pgNumType w:start="1"/>
          <w:cols w:space="720" w:num="1"/>
          <w:docGrid w:type="lines" w:linePitch="326" w:charSpace="0"/>
        </w:sectPr>
      </w:pPr>
      <w:r>
        <w:rPr>
          <w:rFonts w:hint="eastAsia" w:ascii="仿宋_GB2312" w:hAnsi="宋体" w:eastAsia="仿宋_GB2312"/>
          <w:b w:val="0"/>
          <w:bCs w:val="0"/>
          <w:sz w:val="32"/>
          <w:szCs w:val="32"/>
        </w:rPr>
        <w:fldChar w:fldCharType="end"/>
      </w:r>
    </w:p>
    <w:p>
      <w:pPr>
        <w:pStyle w:val="12"/>
        <w:spacing w:line="560" w:lineRule="exact"/>
      </w:pPr>
      <w:r>
        <w:rPr>
          <w:rFonts w:hint="eastAsia"/>
        </w:rPr>
        <w:t>深圳市地方金融监督管理局2020年深圳市</w:t>
      </w:r>
    </w:p>
    <w:p>
      <w:pPr>
        <w:pStyle w:val="12"/>
        <w:spacing w:line="560" w:lineRule="exact"/>
      </w:pPr>
      <w:r>
        <w:rPr>
          <w:rFonts w:hint="eastAsia"/>
        </w:rPr>
        <w:t>融资租赁行业清理规范工作项目</w:t>
      </w:r>
    </w:p>
    <w:p>
      <w:pPr>
        <w:pStyle w:val="3"/>
        <w:spacing w:before="0" w:after="0" w:line="560" w:lineRule="exact"/>
        <w:jc w:val="center"/>
        <w:rPr>
          <w:rFonts w:ascii="宋体" w:hAnsi="宋体"/>
        </w:rPr>
      </w:pPr>
      <w:bookmarkStart w:id="0" w:name="_Toc11772542"/>
      <w:r>
        <w:rPr>
          <w:rFonts w:hint="eastAsia" w:ascii="宋体" w:hAnsi="宋体"/>
        </w:rPr>
        <w:t>竞争性磋商采购公告</w:t>
      </w:r>
      <w:bookmarkEnd w:id="0"/>
    </w:p>
    <w:p>
      <w:pPr>
        <w:pStyle w:val="13"/>
      </w:pPr>
    </w:p>
    <w:p>
      <w:pPr>
        <w:pStyle w:val="13"/>
      </w:pPr>
      <w:r>
        <w:rPr>
          <w:rFonts w:hint="eastAsia"/>
        </w:rPr>
        <w:t>各专业机构:</w:t>
      </w:r>
    </w:p>
    <w:p>
      <w:pPr>
        <w:pStyle w:val="14"/>
        <w:ind w:firstLine="640" w:firstLineChars="200"/>
        <w:rPr>
          <w:rStyle w:val="15"/>
        </w:rPr>
      </w:pPr>
      <w:r>
        <w:rPr>
          <w:rStyle w:val="15"/>
          <w:rFonts w:hint="eastAsia"/>
        </w:rPr>
        <w:t>为及时发现并妥善处置全市融资租赁公司存在的风险隐患，加强行业监督管理，推动行业规范稳健发展，根据《中国银保监会关于印发融资租赁公司监督管理暂行办法的通知》（银保监发〔2020〕22号）有关工作要求，我局定于近期对注册在我市的融资租赁公司开展清理规范工作。</w:t>
      </w:r>
    </w:p>
    <w:p>
      <w:pPr>
        <w:pStyle w:val="14"/>
        <w:ind w:firstLine="480" w:firstLineChars="150"/>
      </w:pPr>
      <w:r>
        <w:rPr>
          <w:rFonts w:hint="eastAsia"/>
        </w:rPr>
        <w:t>一、采购项目名称：</w:t>
      </w:r>
    </w:p>
    <w:p>
      <w:pPr>
        <w:pStyle w:val="13"/>
        <w:ind w:firstLine="566" w:firstLineChars="177"/>
        <w:rPr>
          <w:rStyle w:val="15"/>
        </w:rPr>
      </w:pPr>
      <w:r>
        <w:rPr>
          <w:rStyle w:val="15"/>
          <w:rFonts w:hint="eastAsia"/>
        </w:rPr>
        <w:t>2020年深圳市融资租赁行业清理规范工作</w:t>
      </w:r>
    </w:p>
    <w:p>
      <w:pPr>
        <w:pStyle w:val="13"/>
        <w:ind w:firstLine="566" w:firstLineChars="177"/>
        <w:rPr>
          <w:rStyle w:val="16"/>
        </w:rPr>
      </w:pPr>
      <w:r>
        <w:rPr>
          <w:rStyle w:val="16"/>
          <w:rFonts w:hint="eastAsia"/>
        </w:rPr>
        <w:t>二、采购项目简要规格描述或项目基本概况介绍</w:t>
      </w:r>
    </w:p>
    <w:p>
      <w:pPr>
        <w:pStyle w:val="13"/>
        <w:ind w:firstLine="566" w:firstLineChars="177"/>
        <w:rPr>
          <w:rStyle w:val="15"/>
          <w:color w:val="000000"/>
        </w:rPr>
      </w:pPr>
      <w:r>
        <w:rPr>
          <w:rStyle w:val="15"/>
          <w:rFonts w:hint="eastAsia"/>
          <w:color w:val="000000"/>
        </w:rPr>
        <w:t>融资租赁行业清理规范工作服务采购项目主要包括以下内容：一是协助对注册在我市的融资租赁公司进行清理规范；二是协助研究制定《深圳市融资租赁公司监督管理暂行办法实施细则》；三是开展各地融资租赁行业扶持政策对比分析，结合我市实际研究提出融资租赁行业发展扶持的政策建议。</w:t>
      </w:r>
    </w:p>
    <w:p>
      <w:pPr>
        <w:pStyle w:val="13"/>
        <w:ind w:firstLine="566" w:firstLineChars="177"/>
        <w:rPr>
          <w:rFonts w:hint="eastAsia" w:hAnsi="仿宋_GB2312" w:cs="仿宋_GB2312"/>
          <w:szCs w:val="32"/>
        </w:rPr>
        <w:sectPr>
          <w:headerReference r:id="rId6" w:type="default"/>
          <w:footerReference r:id="rId7" w:type="default"/>
          <w:footerReference r:id="rId8" w:type="even"/>
          <w:pgSz w:w="11907" w:h="16840"/>
          <w:pgMar w:top="1701" w:right="1588" w:bottom="1701" w:left="1588" w:header="851" w:footer="851" w:gutter="0"/>
          <w:pgNumType w:fmt="decimal" w:start="1"/>
          <w:cols w:space="720" w:num="1"/>
          <w:docGrid w:type="lines" w:linePitch="326" w:charSpace="0"/>
        </w:sectPr>
      </w:pPr>
      <w:r>
        <w:rPr>
          <w:rStyle w:val="15"/>
          <w:rFonts w:hint="eastAsia"/>
          <w:color w:val="000000"/>
        </w:rPr>
        <w:t>为有序、高效地开展融资租赁行业清理规范工作，拟聘请1家可以承接政府机关等部门服务和授权委托事项金融行业的研究机构、专业机构或者行业协会，在金融领域行业具备一定的研究能力和实力，安排</w:t>
      </w:r>
      <w:r>
        <w:rPr>
          <w:rFonts w:hint="eastAsia" w:hAnsi="仿宋_GB2312" w:cs="仿宋_GB2312"/>
          <w:szCs w:val="32"/>
        </w:rPr>
        <w:t>5名工作人员参与清理规范工作，其中2人派驻市地方金融监管局办公，负责协助清理规范日常事务；3</w:t>
      </w:r>
    </w:p>
    <w:p>
      <w:pPr>
        <w:pStyle w:val="13"/>
        <w:ind w:firstLine="566" w:firstLineChars="177"/>
      </w:pPr>
      <w:r>
        <w:rPr>
          <w:rFonts w:hint="eastAsia" w:hAnsi="仿宋_GB2312" w:cs="仿宋_GB2312"/>
          <w:szCs w:val="32"/>
        </w:rPr>
        <w:t>人负责协助研究制定实施细则、</w:t>
      </w:r>
      <w:r>
        <w:rPr>
          <w:rStyle w:val="15"/>
          <w:rFonts w:hint="eastAsia"/>
          <w:color w:val="000000"/>
        </w:rPr>
        <w:t>扶持政策对比分析</w:t>
      </w:r>
      <w:r>
        <w:rPr>
          <w:rFonts w:hint="eastAsia" w:hAnsi="仿宋_GB2312" w:cs="仿宋_GB2312"/>
          <w:szCs w:val="32"/>
        </w:rPr>
        <w:t>等工作。</w:t>
      </w:r>
    </w:p>
    <w:p>
      <w:pPr>
        <w:pStyle w:val="13"/>
        <w:ind w:firstLine="566" w:firstLineChars="177"/>
        <w:rPr>
          <w:rStyle w:val="16"/>
        </w:rPr>
      </w:pPr>
      <w:r>
        <w:rPr>
          <w:rStyle w:val="16"/>
          <w:rFonts w:hint="eastAsia"/>
        </w:rPr>
        <w:t>三、时间要求</w:t>
      </w:r>
    </w:p>
    <w:p>
      <w:pPr>
        <w:pStyle w:val="13"/>
        <w:ind w:firstLine="566" w:firstLineChars="177"/>
        <w:rPr>
          <w:rStyle w:val="16"/>
        </w:rPr>
      </w:pPr>
      <w:r>
        <w:rPr>
          <w:rFonts w:hint="eastAsia"/>
        </w:rPr>
        <w:t>项目要求</w:t>
      </w:r>
      <w:r>
        <w:t>完成时间</w:t>
      </w:r>
      <w:r>
        <w:rPr>
          <w:rFonts w:hint="eastAsia"/>
        </w:rPr>
        <w:t>：2020年12月31日前。</w:t>
      </w:r>
    </w:p>
    <w:p>
      <w:pPr>
        <w:pStyle w:val="13"/>
        <w:ind w:firstLine="566" w:firstLineChars="177"/>
        <w:rPr>
          <w:rStyle w:val="16"/>
        </w:rPr>
      </w:pPr>
      <w:r>
        <w:rPr>
          <w:rStyle w:val="16"/>
          <w:rFonts w:hint="eastAsia"/>
        </w:rPr>
        <w:t>四、采购预算金额（人民币）</w:t>
      </w:r>
    </w:p>
    <w:p>
      <w:pPr>
        <w:pStyle w:val="13"/>
        <w:ind w:firstLine="566" w:firstLineChars="177"/>
      </w:pPr>
      <w:r>
        <w:rPr>
          <w:rFonts w:hint="eastAsia"/>
        </w:rPr>
        <w:t>本次采购</w:t>
      </w:r>
      <w:r>
        <w:t>项目为</w:t>
      </w:r>
      <w:r>
        <w:rPr>
          <w:rFonts w:hint="eastAsia"/>
        </w:rPr>
        <w:t>部门</w:t>
      </w:r>
      <w:r>
        <w:t>自行采购项目，</w:t>
      </w:r>
      <w:r>
        <w:rPr>
          <w:rFonts w:hint="eastAsia"/>
        </w:rPr>
        <w:t>总报价超过15万</w:t>
      </w:r>
      <w:r>
        <w:t>以上</w:t>
      </w:r>
      <w:r>
        <w:rPr>
          <w:rFonts w:hint="eastAsia"/>
        </w:rPr>
        <w:t xml:space="preserve">为无效投标。 </w:t>
      </w:r>
    </w:p>
    <w:p>
      <w:pPr>
        <w:pStyle w:val="14"/>
        <w:ind w:firstLine="640" w:firstLineChars="200"/>
        <w:rPr>
          <w:rStyle w:val="16"/>
        </w:rPr>
      </w:pPr>
      <w:r>
        <w:rPr>
          <w:rFonts w:hint="eastAsia"/>
        </w:rPr>
        <w:t>五、</w:t>
      </w:r>
      <w:r>
        <w:rPr>
          <w:rStyle w:val="16"/>
          <w:rFonts w:hint="eastAsia"/>
        </w:rPr>
        <w:t>供应商资格要求</w:t>
      </w:r>
    </w:p>
    <w:p>
      <w:pPr>
        <w:pStyle w:val="13"/>
        <w:adjustRightInd w:val="0"/>
        <w:snapToGrid w:val="0"/>
        <w:ind w:firstLine="640" w:firstLineChars="200"/>
      </w:pPr>
      <w:r>
        <w:rPr>
          <w:rFonts w:hint="eastAsia"/>
        </w:rPr>
        <w:t xml:space="preserve">1.具有独立承担民事责任的能力； </w:t>
      </w:r>
    </w:p>
    <w:p>
      <w:pPr>
        <w:pStyle w:val="13"/>
        <w:adjustRightInd w:val="0"/>
        <w:snapToGrid w:val="0"/>
        <w:ind w:firstLine="640" w:firstLineChars="200"/>
      </w:pPr>
      <w:r>
        <w:rPr>
          <w:rFonts w:hint="eastAsia"/>
        </w:rPr>
        <w:t>2.具有履行合同所必须的专业服务能力；</w:t>
      </w:r>
    </w:p>
    <w:p>
      <w:pPr>
        <w:pStyle w:val="13"/>
        <w:adjustRightInd w:val="0"/>
        <w:snapToGrid w:val="0"/>
        <w:ind w:firstLine="640" w:firstLineChars="200"/>
      </w:pPr>
      <w:r>
        <w:rPr>
          <w:rFonts w:hint="eastAsia"/>
        </w:rPr>
        <w:t>3.法律和行政法规规定的其它条件；</w:t>
      </w:r>
    </w:p>
    <w:p>
      <w:pPr>
        <w:pStyle w:val="13"/>
        <w:adjustRightInd w:val="0"/>
        <w:snapToGrid w:val="0"/>
        <w:ind w:firstLine="640" w:firstLineChars="200"/>
      </w:pPr>
      <w:r>
        <w:rPr>
          <w:rFonts w:hint="eastAsia"/>
        </w:rPr>
        <w:t>4.本项目不接受联合体投标。</w:t>
      </w:r>
    </w:p>
    <w:p>
      <w:pPr>
        <w:pStyle w:val="14"/>
        <w:ind w:firstLine="640" w:firstLineChars="200"/>
      </w:pPr>
      <w:r>
        <w:rPr>
          <w:rFonts w:hint="eastAsia"/>
        </w:rPr>
        <w:t>六、响应文件递交截止时间和地点：</w:t>
      </w:r>
    </w:p>
    <w:p>
      <w:pPr>
        <w:pStyle w:val="13"/>
        <w:adjustRightInd w:val="0"/>
        <w:snapToGrid w:val="0"/>
        <w:ind w:firstLine="569" w:firstLineChars="177"/>
      </w:pPr>
      <w:r>
        <w:rPr>
          <w:rFonts w:hint="eastAsia"/>
          <w:b/>
        </w:rPr>
        <w:t>1.递交采购报价文件时间：</w:t>
      </w:r>
      <w:r>
        <w:rPr>
          <w:rFonts w:hint="eastAsia"/>
        </w:rPr>
        <w:t>2020年8月2</w:t>
      </w:r>
      <w:r>
        <w:rPr>
          <w:rFonts w:hint="eastAsia"/>
          <w:lang w:val="en-US" w:eastAsia="zh-CN"/>
        </w:rPr>
        <w:t>3</w:t>
      </w:r>
      <w:r>
        <w:rPr>
          <w:rFonts w:hint="eastAsia"/>
        </w:rPr>
        <w:t>日18:00前，超过截止时间递交采购报价文件不予接受。</w:t>
      </w:r>
    </w:p>
    <w:p>
      <w:pPr>
        <w:pStyle w:val="13"/>
        <w:adjustRightInd w:val="0"/>
        <w:snapToGrid w:val="0"/>
        <w:ind w:firstLine="569" w:firstLineChars="177"/>
      </w:pPr>
      <w:r>
        <w:rPr>
          <w:rFonts w:hint="eastAsia"/>
          <w:b/>
        </w:rPr>
        <w:t>2.递交采购报价文件地点：</w:t>
      </w:r>
      <w:r>
        <w:rPr>
          <w:rFonts w:hint="eastAsia"/>
          <w:bCs/>
        </w:rPr>
        <w:t>益</w:t>
      </w:r>
      <w:r>
        <w:rPr>
          <w:rFonts w:hint="eastAsia"/>
        </w:rPr>
        <w:t>田路6003-4号荣超商务中心B座11楼。</w:t>
      </w:r>
    </w:p>
    <w:p>
      <w:pPr>
        <w:pStyle w:val="14"/>
        <w:ind w:firstLine="640" w:firstLineChars="200"/>
      </w:pPr>
      <w:r>
        <w:rPr>
          <w:rFonts w:hint="eastAsia"/>
        </w:rPr>
        <w:t>七</w:t>
      </w:r>
      <w:r>
        <w:t>、</w:t>
      </w:r>
      <w:r>
        <w:rPr>
          <w:rFonts w:hint="eastAsia"/>
        </w:rPr>
        <w:t>联系信息</w:t>
      </w:r>
    </w:p>
    <w:p>
      <w:pPr>
        <w:pStyle w:val="13"/>
        <w:ind w:firstLine="566" w:firstLineChars="177"/>
      </w:pPr>
      <w:r>
        <w:rPr>
          <w:rFonts w:hint="eastAsia"/>
        </w:rPr>
        <w:t>联系人</w:t>
      </w:r>
      <w:r>
        <w:rPr>
          <w:rFonts w:hint="eastAsia" w:hAnsi="仿宋_GB2312" w:cs="仿宋_GB2312"/>
        </w:rPr>
        <w:t>：郭威</w:t>
      </w:r>
      <w:r>
        <w:rPr>
          <w:rFonts w:hint="eastAsia" w:hAnsi="仿宋_GB2312" w:cs="仿宋_GB2312"/>
          <w:lang w:eastAsia="zh-CN"/>
        </w:rPr>
        <w:t>，</w:t>
      </w:r>
      <w:r>
        <w:rPr>
          <w:rFonts w:hint="eastAsia" w:hAnsi="仿宋_GB2312" w:cs="仿宋_GB2312"/>
        </w:rPr>
        <w:t>陈</w:t>
      </w:r>
      <w:r>
        <w:rPr>
          <w:rFonts w:hint="eastAsia"/>
        </w:rPr>
        <w:t>阳洁</w:t>
      </w:r>
    </w:p>
    <w:p>
      <w:pPr>
        <w:pStyle w:val="13"/>
        <w:ind w:firstLine="566" w:firstLineChars="177"/>
      </w:pPr>
      <w:r>
        <w:rPr>
          <w:rFonts w:hint="eastAsia"/>
        </w:rPr>
        <w:t>电话：88125475</w:t>
      </w:r>
      <w:r>
        <w:rPr>
          <w:rFonts w:hint="eastAsia"/>
          <w:lang w:eastAsia="zh-CN"/>
        </w:rPr>
        <w:t>，</w:t>
      </w:r>
      <w:r>
        <w:rPr>
          <w:rFonts w:hint="eastAsia"/>
        </w:rPr>
        <w:t>88127635</w:t>
      </w:r>
    </w:p>
    <w:p>
      <w:pPr>
        <w:pStyle w:val="13"/>
        <w:ind w:firstLine="566" w:firstLineChars="177"/>
      </w:pPr>
      <w:r>
        <w:rPr>
          <w:rFonts w:hint="eastAsia"/>
        </w:rPr>
        <w:t>传真</w:t>
      </w:r>
      <w:r>
        <w:t>：</w:t>
      </w:r>
      <w:r>
        <w:rPr>
          <w:rFonts w:hint="eastAsia"/>
        </w:rPr>
        <w:t>88106040</w:t>
      </w:r>
    </w:p>
    <w:p>
      <w:pPr>
        <w:pStyle w:val="13"/>
        <w:ind w:firstLine="566"/>
      </w:pPr>
      <w:r>
        <w:rPr>
          <w:rFonts w:hint="eastAsia"/>
        </w:rPr>
        <w:t>电子</w:t>
      </w:r>
      <w:r>
        <w:t>邮箱：</w:t>
      </w:r>
      <w:r>
        <w:rPr>
          <w:rFonts w:hint="eastAsia"/>
        </w:rPr>
        <w:t>rzzl</w:t>
      </w:r>
      <w:r>
        <w:t>@shenzhen.gov.cn</w:t>
      </w:r>
    </w:p>
    <w:p>
      <w:pPr>
        <w:pStyle w:val="13"/>
        <w:ind w:firstLine="566" w:firstLineChars="177"/>
      </w:pPr>
      <w:r>
        <w:rPr>
          <w:rFonts w:hint="eastAsia"/>
        </w:rPr>
        <w:t>联系地址：荣超商务中心B座11楼</w:t>
      </w:r>
    </w:p>
    <w:p>
      <w:pPr>
        <w:pStyle w:val="13"/>
        <w:ind w:firstLine="566" w:firstLineChars="177"/>
      </w:pPr>
    </w:p>
    <w:p>
      <w:pPr>
        <w:pStyle w:val="13"/>
        <w:ind w:firstLine="640" w:firstLineChars="200"/>
      </w:pPr>
      <w:r>
        <w:rPr>
          <w:rFonts w:hint="eastAsia"/>
        </w:rPr>
        <w:t>附件</w:t>
      </w:r>
      <w:r>
        <w:t>：</w:t>
      </w:r>
      <w:r>
        <w:rPr>
          <w:rFonts w:hint="eastAsia"/>
        </w:rPr>
        <w:t>1.竞争性磋商采购文件</w:t>
      </w:r>
    </w:p>
    <w:p>
      <w:pPr>
        <w:pStyle w:val="13"/>
        <w:ind w:firstLine="1600" w:firstLineChars="500"/>
      </w:pPr>
      <w:r>
        <w:rPr>
          <w:rFonts w:hint="eastAsia"/>
        </w:rPr>
        <w:t>2.2020年深圳市融资租赁行业清理规范工作方案</w:t>
      </w:r>
    </w:p>
    <w:p>
      <w:pPr>
        <w:pStyle w:val="13"/>
        <w:adjustRightInd w:val="0"/>
        <w:snapToGrid w:val="0"/>
        <w:ind w:firstLine="566" w:firstLineChars="177"/>
        <w:jc w:val="center"/>
      </w:pPr>
    </w:p>
    <w:p>
      <w:pPr>
        <w:pStyle w:val="13"/>
        <w:adjustRightInd w:val="0"/>
        <w:snapToGrid w:val="0"/>
        <w:ind w:firstLine="566" w:firstLineChars="177"/>
        <w:jc w:val="center"/>
      </w:pPr>
      <w:r>
        <w:rPr>
          <w:rFonts w:hint="eastAsia"/>
        </w:rPr>
        <w:t xml:space="preserve">                       深圳市地方金融监督管理局</w:t>
      </w:r>
    </w:p>
    <w:p>
      <w:pPr>
        <w:pStyle w:val="13"/>
        <w:jc w:val="center"/>
      </w:pPr>
      <w:r>
        <w:rPr>
          <w:rFonts w:hint="eastAsia"/>
        </w:rPr>
        <w:t xml:space="preserve">                         2020年8月</w:t>
      </w:r>
      <w:r>
        <w:rPr>
          <w:rFonts w:hint="eastAsia"/>
          <w:lang w:val="en-US" w:eastAsia="zh-CN"/>
        </w:rPr>
        <w:t>14</w:t>
      </w:r>
      <w:bookmarkStart w:id="5" w:name="_GoBack"/>
      <w:bookmarkEnd w:id="5"/>
      <w:r>
        <w:rPr>
          <w:rFonts w:hint="eastAsia"/>
        </w:rPr>
        <w:t xml:space="preserve">日 </w:t>
      </w:r>
    </w:p>
    <w:p>
      <w:pPr>
        <w:spacing w:line="560" w:lineRule="exact"/>
        <w:jc w:val="center"/>
        <w:rPr>
          <w:rFonts w:ascii="仿宋_GB2312" w:hAnsi="宋体" w:eastAsia="仿宋_GB2312"/>
          <w:b/>
          <w:sz w:val="44"/>
          <w:szCs w:val="44"/>
        </w:rPr>
      </w:pPr>
    </w:p>
    <w:p>
      <w:pPr>
        <w:spacing w:line="400" w:lineRule="exact"/>
        <w:jc w:val="center"/>
        <w:rPr>
          <w:rFonts w:ascii="仿宋_GB2312" w:hAnsi="宋体" w:eastAsia="仿宋_GB2312"/>
          <w:b/>
          <w:sz w:val="44"/>
          <w:szCs w:val="44"/>
        </w:rPr>
      </w:pPr>
    </w:p>
    <w:p>
      <w:pPr>
        <w:spacing w:line="540" w:lineRule="exact"/>
        <w:ind w:firstLine="420" w:firstLineChars="200"/>
        <w:jc w:val="center"/>
        <w:rPr>
          <w:rFonts w:ascii="仿宋_GB2312" w:hAnsi="宋体" w:eastAsia="仿宋_GB2312"/>
        </w:rPr>
      </w:pPr>
      <w:bookmarkStart w:id="1" w:name="_Toc11772543"/>
      <w:r>
        <w:rPr>
          <w:rFonts w:hint="eastAsia" w:ascii="仿宋_GB2312" w:hAnsi="宋体" w:eastAsia="仿宋_GB2312"/>
        </w:rPr>
        <w:br w:type="page"/>
      </w:r>
    </w:p>
    <w:p>
      <w:pPr>
        <w:pStyle w:val="3"/>
        <w:spacing w:before="0" w:after="0" w:line="540" w:lineRule="exact"/>
        <w:ind w:firstLine="883" w:firstLineChars="200"/>
        <w:jc w:val="center"/>
        <w:rPr>
          <w:rFonts w:ascii="仿宋_GB2312" w:hAnsi="宋体" w:eastAsia="仿宋_GB2312"/>
        </w:rPr>
      </w:pPr>
      <w:r>
        <w:rPr>
          <w:rFonts w:hint="eastAsia" w:ascii="仿宋_GB2312" w:hAnsi="宋体" w:eastAsia="仿宋_GB2312"/>
        </w:rPr>
        <w:t>第一章 供应商须知</w:t>
      </w:r>
      <w:bookmarkEnd w:id="1"/>
    </w:p>
    <w:p>
      <w:pPr>
        <w:spacing w:beforeLines="50" w:afterLines="50" w:line="54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一、总则</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1.适用范围</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1.1本文件仅适用于本文所叙述的服务类政府采购项目。</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2.定义</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2.1“采购人”指：深圳市地方金融监督管理局。</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2.2“供应商”是指响应本文件要求，参加磋商的法人或者其他组织。如果该供应商在本次采购中成交，即成为“成交供应商”。</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2.3“服务”是指除货物和工程以外的其他政府采购对象。</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2.4“响应文件”是指供应商根据本文件要求，编制包含报价、技术和服务等所有内容的文件。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3.供应商的基本条件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3.1符合《中华人民共和国政府采购法》第二十二条规定的条件，国内注册（指按国家有关规定要求注册的），依法能提供本次采购服务（货物），具有法人资格的供应商。</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3.2在经营活动中没有重大违法记录和不良信用记录，具有履行合同所必须的专业服务能力。</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3.3本项目不接受联合体竞标。</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4.费用</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4.1供应商应自行承担所有与编写和提交响应文件有关的费用，不论结果如何，采购人深圳市地方金融监管局在任何情况下无义务和责任承担此类费用。</w:t>
      </w:r>
    </w:p>
    <w:p>
      <w:pPr>
        <w:spacing w:beforeLines="50" w:afterLines="50" w:line="54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二、响应文件的编制</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5.响应文件编制基本要求</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5.1供应商对响应文件的应按要求装订和封装：响应文件内容不得涂改，如有涂改，必须在涂改处加盖投标单位公章，否则为废标。响应文件必须密封封装。</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5.2供应商应认真阅读、并充分理解本文件的全部内容（包括所有的补充、修改内容），承诺并履行本文件中各项条款规定及要求。</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5.3响应文件必须按本文件的全部内容，包括所有的补充通知及附件进行编制。如因供应商只填写和提供了本文件要求的部分内容和附件，而给评审造成困难，其可能导致的结果和责任由供应商自行承担。</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5.4响应文件的组成：包括价格文件和商务技术文件。</w:t>
      </w:r>
    </w:p>
    <w:p>
      <w:pPr>
        <w:pStyle w:val="13"/>
        <w:spacing w:line="540" w:lineRule="exact"/>
        <w:ind w:firstLine="640" w:firstLineChars="200"/>
      </w:pPr>
      <w:r>
        <w:rPr>
          <w:rFonts w:hint="eastAsia"/>
        </w:rPr>
        <w:t>（1）报价函（必须提供，否则竞标无效）；</w:t>
      </w:r>
    </w:p>
    <w:p>
      <w:pPr>
        <w:pStyle w:val="13"/>
        <w:spacing w:line="540" w:lineRule="exact"/>
        <w:ind w:firstLine="640" w:firstLineChars="200"/>
      </w:pPr>
      <w:r>
        <w:rPr>
          <w:rFonts w:hint="eastAsia"/>
        </w:rPr>
        <w:t>（2）报价表（必须提供，否则竞标无效）；</w:t>
      </w:r>
    </w:p>
    <w:p>
      <w:pPr>
        <w:pStyle w:val="13"/>
        <w:spacing w:line="540" w:lineRule="exact"/>
        <w:ind w:firstLine="640" w:firstLineChars="200"/>
      </w:pPr>
      <w:r>
        <w:rPr>
          <w:rFonts w:hint="eastAsia"/>
        </w:rPr>
        <w:t>（3）技术响应、偏离情况说明表（必须提供，否则竞标无效）；</w:t>
      </w:r>
    </w:p>
    <w:p>
      <w:pPr>
        <w:pStyle w:val="13"/>
        <w:spacing w:line="540" w:lineRule="exact"/>
        <w:ind w:firstLine="640" w:firstLineChars="200"/>
      </w:pPr>
      <w:r>
        <w:rPr>
          <w:rFonts w:hint="eastAsia"/>
        </w:rPr>
        <w:t>（4）商务响应表（必须提供，否则竞标无效）；</w:t>
      </w:r>
    </w:p>
    <w:p>
      <w:pPr>
        <w:pStyle w:val="13"/>
        <w:spacing w:line="540" w:lineRule="exact"/>
        <w:ind w:firstLine="640" w:firstLineChars="200"/>
      </w:pPr>
      <w:r>
        <w:rPr>
          <w:rFonts w:hint="eastAsia"/>
        </w:rPr>
        <w:t>（5）有效的营业执照副本复印件（必须提供，否则竞标无效）；</w:t>
      </w:r>
    </w:p>
    <w:p>
      <w:pPr>
        <w:pStyle w:val="13"/>
        <w:spacing w:line="540" w:lineRule="exact"/>
        <w:ind w:firstLine="640" w:firstLineChars="200"/>
      </w:pPr>
      <w:r>
        <w:rPr>
          <w:rFonts w:hint="eastAsia"/>
        </w:rPr>
        <w:t>（6）有效的组织机构代码证复印件（必须提供，否则竞标无效，如已办理三证合一的则不用提供）；</w:t>
      </w:r>
    </w:p>
    <w:p>
      <w:pPr>
        <w:pStyle w:val="13"/>
        <w:spacing w:line="540" w:lineRule="exact"/>
        <w:ind w:firstLine="640" w:firstLineChars="200"/>
      </w:pPr>
      <w:r>
        <w:rPr>
          <w:rFonts w:hint="eastAsia"/>
        </w:rPr>
        <w:t>（7）法定代表人有效的身份证复印件、法定代表人授权书原件和被授权人身份证复印件（必须提供，否则竞标无效）；</w:t>
      </w:r>
    </w:p>
    <w:p>
      <w:pPr>
        <w:pStyle w:val="13"/>
        <w:spacing w:line="540" w:lineRule="exact"/>
        <w:ind w:firstLine="640" w:firstLineChars="200"/>
      </w:pPr>
      <w:r>
        <w:rPr>
          <w:rFonts w:hint="eastAsia"/>
        </w:rPr>
        <w:t>（8）其他相关证明资料：过往业绩情况、相关项目实施经验、项目建议书、实施程序或方案、项目负责人及成员基本信息（含相关工作经历和业绩等情况）、服务承诺及保障措施、无不良行为承诺书等供应商认为需要提供的有关资料。</w:t>
      </w:r>
    </w:p>
    <w:p>
      <w:pPr>
        <w:pStyle w:val="13"/>
        <w:spacing w:line="540" w:lineRule="exact"/>
        <w:ind w:firstLine="643" w:firstLineChars="200"/>
        <w:rPr>
          <w:rFonts w:hAnsi="宋体"/>
          <w:b/>
          <w:szCs w:val="32"/>
        </w:rPr>
      </w:pPr>
      <w:r>
        <w:rPr>
          <w:rFonts w:hint="eastAsia" w:hAnsi="宋体"/>
          <w:b/>
          <w:szCs w:val="32"/>
        </w:rPr>
        <w:t>三、报价要求</w:t>
      </w:r>
    </w:p>
    <w:p>
      <w:pPr>
        <w:pStyle w:val="13"/>
        <w:spacing w:line="540" w:lineRule="exact"/>
        <w:ind w:firstLine="640" w:firstLineChars="200"/>
      </w:pPr>
      <w:r>
        <w:rPr>
          <w:rFonts w:hint="eastAsia"/>
        </w:rPr>
        <w:t>6.1本项目报价以人民币报价。报价包括完成本项目所需的所有费用和税金。对于本文件中未列明，而供应商认为必需的费用也需列入总报价。在合同实施时，因成交供应商自身原因造成漏报、少报皆由其自行承担责任，采购人不再补偿。</w:t>
      </w:r>
    </w:p>
    <w:p>
      <w:pPr>
        <w:pStyle w:val="13"/>
        <w:spacing w:line="540" w:lineRule="exact"/>
        <w:ind w:firstLine="640" w:firstLineChars="200"/>
      </w:pPr>
      <w:r>
        <w:rPr>
          <w:rFonts w:hint="eastAsia"/>
        </w:rPr>
        <w:t>6.2磋商供应商须就《采购项目技术规范及要求》中服务内容作完整唯一报价。</w:t>
      </w:r>
    </w:p>
    <w:p>
      <w:pPr>
        <w:pStyle w:val="13"/>
        <w:spacing w:line="540" w:lineRule="exact"/>
        <w:ind w:firstLine="643" w:firstLineChars="200"/>
        <w:rPr>
          <w:rFonts w:hAnsi="宋体"/>
          <w:b/>
          <w:szCs w:val="32"/>
        </w:rPr>
      </w:pPr>
      <w:r>
        <w:rPr>
          <w:rFonts w:hint="eastAsia" w:hAnsi="宋体"/>
          <w:b/>
          <w:szCs w:val="32"/>
        </w:rPr>
        <w:t>四、响应文件的份数、封装和递交</w:t>
      </w:r>
    </w:p>
    <w:p>
      <w:pPr>
        <w:pStyle w:val="13"/>
        <w:spacing w:line="540" w:lineRule="exact"/>
        <w:ind w:firstLine="640" w:firstLineChars="200"/>
      </w:pPr>
      <w:r>
        <w:rPr>
          <w:rFonts w:hint="eastAsia"/>
        </w:rPr>
        <w:t>7.商响应文件的份数和封装</w:t>
      </w:r>
    </w:p>
    <w:p>
      <w:pPr>
        <w:pStyle w:val="13"/>
        <w:spacing w:line="540" w:lineRule="exact"/>
        <w:ind w:firstLine="640" w:firstLineChars="200"/>
      </w:pPr>
      <w:r>
        <w:rPr>
          <w:rFonts w:hint="eastAsia"/>
        </w:rPr>
        <w:t>7.1供应商应将响应文件正本一份、副本四份密封在信封（或包装袋或包装箱）中。</w:t>
      </w:r>
    </w:p>
    <w:p>
      <w:pPr>
        <w:pStyle w:val="13"/>
        <w:spacing w:line="540" w:lineRule="exact"/>
        <w:ind w:firstLine="640" w:firstLineChars="200"/>
      </w:pPr>
      <w:r>
        <w:rPr>
          <w:rFonts w:hint="eastAsia"/>
        </w:rPr>
        <w:t>7.2响应文件的信封（或包装袋或包装箱）封面上应写明：项目名称、商供应商名称。</w:t>
      </w:r>
    </w:p>
    <w:p>
      <w:pPr>
        <w:pStyle w:val="13"/>
        <w:spacing w:line="540" w:lineRule="exact"/>
        <w:ind w:firstLine="640" w:firstLineChars="200"/>
      </w:pPr>
      <w:r>
        <w:rPr>
          <w:rFonts w:hint="eastAsia"/>
        </w:rPr>
        <w:t>8.响应文件的递交</w:t>
      </w:r>
    </w:p>
    <w:p>
      <w:pPr>
        <w:pStyle w:val="13"/>
        <w:spacing w:line="540" w:lineRule="exact"/>
        <w:ind w:firstLine="640" w:firstLineChars="200"/>
      </w:pPr>
      <w:r>
        <w:rPr>
          <w:rFonts w:hint="eastAsia"/>
        </w:rPr>
        <w:t>8.1所有响应文件应于采购公告中规定的时间前递交到规定地点。按《中华人民共和国政府采购法》的规定，将拒绝或原封退回在其规定的递交截止时间之后收到的任何响应文件。</w:t>
      </w:r>
    </w:p>
    <w:p>
      <w:pPr>
        <w:pStyle w:val="13"/>
        <w:spacing w:line="540" w:lineRule="exact"/>
        <w:ind w:firstLine="643" w:firstLineChars="200"/>
        <w:rPr>
          <w:rFonts w:hAnsi="宋体"/>
          <w:b/>
          <w:szCs w:val="32"/>
        </w:rPr>
      </w:pPr>
      <w:r>
        <w:rPr>
          <w:rFonts w:hint="eastAsia" w:hAnsi="宋体"/>
          <w:b/>
          <w:szCs w:val="32"/>
        </w:rPr>
        <w:t>五、谈判步骤</w:t>
      </w:r>
    </w:p>
    <w:p>
      <w:pPr>
        <w:pStyle w:val="13"/>
        <w:spacing w:line="540" w:lineRule="exact"/>
        <w:ind w:firstLine="640" w:firstLineChars="200"/>
      </w:pPr>
      <w:r>
        <w:rPr>
          <w:rFonts w:hint="eastAsia"/>
        </w:rPr>
        <w:t>9.实质审查</w:t>
      </w:r>
    </w:p>
    <w:p>
      <w:pPr>
        <w:pStyle w:val="13"/>
        <w:spacing w:line="540" w:lineRule="exact"/>
        <w:ind w:firstLine="640" w:firstLineChars="200"/>
      </w:pPr>
      <w:r>
        <w:rPr>
          <w:rFonts w:hint="eastAsia"/>
        </w:rPr>
        <w:t>（1）谈判小组审查谈判响应文件的实质性内容是否符合谈判采购文件的实质性要求。</w:t>
      </w:r>
    </w:p>
    <w:p>
      <w:pPr>
        <w:pStyle w:val="13"/>
        <w:spacing w:line="540" w:lineRule="exact"/>
        <w:ind w:firstLine="640" w:firstLineChars="200"/>
      </w:pPr>
      <w:r>
        <w:rPr>
          <w:rFonts w:hint="eastAsia"/>
        </w:rPr>
        <w:t>（2）对供应商资格审查时进行信用查询。</w:t>
      </w:r>
    </w:p>
    <w:p>
      <w:pPr>
        <w:pStyle w:val="13"/>
        <w:spacing w:line="540" w:lineRule="exact"/>
        <w:ind w:firstLine="640" w:firstLineChars="200"/>
      </w:pPr>
      <w:r>
        <w:rPr>
          <w:rFonts w:hint="eastAsia"/>
        </w:rPr>
        <w:t>（3）谈判小组在对响应文件的有效性、完整性和响应程度进行审查时，可以要求供应商对响应文件中含义不明确、同类问题表述不一致或者有明显文字和计算错误的内容等作出必要的澄清、说明或者更正。书面文件应当由法定代表人或其授权代表签字或者加盖公章。</w:t>
      </w:r>
    </w:p>
    <w:p>
      <w:pPr>
        <w:pStyle w:val="13"/>
        <w:spacing w:line="540" w:lineRule="exact"/>
        <w:ind w:firstLine="643" w:firstLineChars="200"/>
        <w:rPr>
          <w:rFonts w:hAnsi="宋体"/>
          <w:b/>
          <w:szCs w:val="32"/>
        </w:rPr>
      </w:pPr>
      <w:r>
        <w:rPr>
          <w:rFonts w:hint="eastAsia" w:hAnsi="宋体"/>
          <w:b/>
          <w:szCs w:val="32"/>
        </w:rPr>
        <w:t>五、确定成交供应商办法</w:t>
      </w:r>
    </w:p>
    <w:p>
      <w:pPr>
        <w:pStyle w:val="13"/>
        <w:spacing w:line="540" w:lineRule="exact"/>
        <w:ind w:firstLine="640" w:firstLineChars="200"/>
      </w:pPr>
      <w:r>
        <w:rPr>
          <w:rFonts w:hint="eastAsia"/>
        </w:rPr>
        <w:t>10.1谈判小组将根据得分由高到低排列次序（得分相同时，以竞标报价由低到高顺序排列；得分相同且竞标报价相同的，按技术分高低顺序排列）选出三名成交候选供应商（见第二章评标方法）。</w:t>
      </w:r>
    </w:p>
    <w:p>
      <w:pPr>
        <w:pStyle w:val="13"/>
        <w:spacing w:line="540" w:lineRule="exact"/>
        <w:ind w:firstLine="643" w:firstLineChars="200"/>
        <w:rPr>
          <w:rFonts w:hAnsi="宋体"/>
          <w:b/>
          <w:szCs w:val="32"/>
        </w:rPr>
      </w:pPr>
      <w:r>
        <w:rPr>
          <w:rFonts w:hint="eastAsia" w:hAnsi="宋体"/>
          <w:b/>
          <w:szCs w:val="32"/>
        </w:rPr>
        <w:t>六、签订合同</w:t>
      </w:r>
    </w:p>
    <w:p>
      <w:pPr>
        <w:pStyle w:val="13"/>
        <w:spacing w:line="540" w:lineRule="exact"/>
        <w:ind w:firstLine="640" w:firstLineChars="200"/>
      </w:pPr>
      <w:r>
        <w:rPr>
          <w:rFonts w:hint="eastAsia"/>
        </w:rPr>
        <w:t>11.1中标供应商在中标后3个工作日内，与我局签订采购合同。若中标供应商在中标公示期满后3个工作日内仍未与采购人签订合同，将取消其本次成交资格，同时永久取消其预选供应商</w:t>
      </w:r>
      <w:r>
        <w:t>资格</w:t>
      </w:r>
      <w:r>
        <w:rPr>
          <w:rFonts w:hint="eastAsia"/>
        </w:rPr>
        <w:t>。并按递补资格与其它报价人签订合同。</w:t>
      </w:r>
    </w:p>
    <w:p>
      <w:pPr>
        <w:pStyle w:val="13"/>
        <w:spacing w:line="540" w:lineRule="exact"/>
        <w:ind w:firstLine="640" w:firstLineChars="200"/>
      </w:pPr>
      <w:r>
        <w:rPr>
          <w:rFonts w:hint="eastAsia"/>
        </w:rPr>
        <w:t>11.2响应文件、中标供应商的报价文件及有效承诺文件等,均为签订合同的依据。</w:t>
      </w:r>
    </w:p>
    <w:p>
      <w:pPr>
        <w:pStyle w:val="13"/>
        <w:spacing w:line="540" w:lineRule="exact"/>
        <w:ind w:firstLine="643" w:firstLineChars="200"/>
        <w:rPr>
          <w:rFonts w:hAnsi="宋体"/>
          <w:b/>
          <w:szCs w:val="32"/>
        </w:rPr>
      </w:pPr>
      <w:r>
        <w:rPr>
          <w:rFonts w:hint="eastAsia" w:hAnsi="宋体"/>
          <w:b/>
          <w:szCs w:val="32"/>
        </w:rPr>
        <w:t>七、适用法律</w:t>
      </w:r>
    </w:p>
    <w:p>
      <w:pPr>
        <w:pStyle w:val="13"/>
        <w:spacing w:line="540" w:lineRule="exact"/>
        <w:ind w:firstLine="640" w:firstLineChars="200"/>
      </w:pPr>
      <w:r>
        <w:rPr>
          <w:rFonts w:hint="eastAsia"/>
        </w:rPr>
        <w:t>12.1采购当事人的一切活动均适用于《中华人民共和国政府采购法》及相关规定。最终谈判结束后，谈判小组不得再与谈判供应商进行任何形式的商谈。</w:t>
      </w:r>
    </w:p>
    <w:p>
      <w:pPr>
        <w:pStyle w:val="13"/>
        <w:ind w:firstLine="640" w:firstLineChars="200"/>
      </w:pPr>
    </w:p>
    <w:p>
      <w:pPr>
        <w:pStyle w:val="3"/>
        <w:spacing w:before="0" w:after="0" w:line="560" w:lineRule="exact"/>
        <w:ind w:firstLine="883" w:firstLineChars="200"/>
        <w:jc w:val="center"/>
        <w:rPr>
          <w:rFonts w:ascii="仿宋_GB2312" w:hAnsi="宋体" w:eastAsia="仿宋_GB2312"/>
        </w:rPr>
      </w:pPr>
      <w:bookmarkStart w:id="2" w:name="_Toc11772544"/>
      <w:r>
        <w:rPr>
          <w:rFonts w:hint="eastAsia" w:ascii="仿宋_GB2312" w:hAnsi="宋体" w:eastAsia="仿宋_GB2312"/>
        </w:rPr>
        <w:t>第二章 评标办法</w:t>
      </w:r>
      <w:bookmarkEnd w:id="2"/>
    </w:p>
    <w:p>
      <w:pPr>
        <w:spacing w:line="560" w:lineRule="exact"/>
        <w:ind w:firstLine="643" w:firstLineChars="200"/>
        <w:jc w:val="left"/>
        <w:rPr>
          <w:rFonts w:ascii="仿宋_GB2312" w:hAnsi="宋体" w:eastAsia="仿宋_GB2312"/>
          <w:b/>
          <w:kern w:val="0"/>
          <w:sz w:val="32"/>
          <w:szCs w:val="32"/>
        </w:rPr>
      </w:pPr>
      <w:r>
        <w:rPr>
          <w:rFonts w:hint="eastAsia" w:ascii="仿宋_GB2312" w:hAnsi="宋体" w:eastAsia="仿宋_GB2312"/>
          <w:b/>
          <w:kern w:val="0"/>
          <w:sz w:val="32"/>
          <w:szCs w:val="32"/>
        </w:rPr>
        <w:t>综合评分法</w:t>
      </w:r>
    </w:p>
    <w:p>
      <w:pPr>
        <w:pStyle w:val="13"/>
        <w:ind w:firstLine="643" w:firstLineChars="200"/>
        <w:rPr>
          <w:rFonts w:hAnsi="宋体"/>
          <w:b/>
          <w:szCs w:val="32"/>
        </w:rPr>
      </w:pPr>
      <w:r>
        <w:rPr>
          <w:rFonts w:hint="eastAsia" w:hAnsi="宋体"/>
          <w:b/>
          <w:szCs w:val="32"/>
        </w:rPr>
        <w:t>一、评标原则</w:t>
      </w:r>
    </w:p>
    <w:p>
      <w:pPr>
        <w:pStyle w:val="13"/>
        <w:ind w:firstLine="640" w:firstLineChars="200"/>
      </w:pPr>
      <w:r>
        <w:rPr>
          <w:rFonts w:hint="eastAsia"/>
        </w:rPr>
        <w:t>（一）评标依据：谈判小组将以竞争性磋商采购文件、磋商供应商的磋商响应文件为评标依据，对磋商供应商的竞标报价、技术、业绩信誉等方面内容按百分制打分。</w:t>
      </w:r>
    </w:p>
    <w:p>
      <w:pPr>
        <w:pStyle w:val="13"/>
        <w:ind w:firstLine="640" w:firstLineChars="200"/>
        <w:rPr>
          <w:rFonts w:hAnsi="宋体"/>
          <w:b/>
          <w:szCs w:val="32"/>
        </w:rPr>
      </w:pPr>
      <w:r>
        <w:rPr>
          <w:rFonts w:hint="eastAsia"/>
        </w:rPr>
        <w:t>（二）评标方式：以封闭方式进行。</w:t>
      </w:r>
    </w:p>
    <w:p>
      <w:pPr>
        <w:pStyle w:val="13"/>
        <w:ind w:firstLine="643" w:firstLineChars="200"/>
        <w:rPr>
          <w:rFonts w:hAnsi="宋体"/>
          <w:b/>
          <w:szCs w:val="32"/>
        </w:rPr>
      </w:pPr>
      <w:r>
        <w:rPr>
          <w:rFonts w:hint="eastAsia" w:hAnsi="宋体"/>
          <w:b/>
          <w:szCs w:val="32"/>
        </w:rPr>
        <w:t>二、评定方法（按四舍五入取至百分位）</w:t>
      </w:r>
    </w:p>
    <w:p>
      <w:pPr>
        <w:pStyle w:val="13"/>
        <w:ind w:firstLine="640" w:firstLineChars="200"/>
      </w:pPr>
      <w:r>
        <w:rPr>
          <w:rFonts w:hint="eastAsia"/>
        </w:rPr>
        <w:t>1、价格分（40分）</w:t>
      </w:r>
    </w:p>
    <w:p>
      <w:pPr>
        <w:pStyle w:val="13"/>
        <w:ind w:firstLine="640" w:firstLineChars="200"/>
      </w:pPr>
      <w:r>
        <w:rPr>
          <w:rFonts w:hint="eastAsia"/>
        </w:rPr>
        <w:t>价格分采用低价优先法计算，即满足采购需求且报价最低的报价为评标基准价，其价格分为满分，其他报价人的价格分统一按下列公式计算：</w:t>
      </w:r>
    </w:p>
    <w:p>
      <w:pPr>
        <w:pStyle w:val="13"/>
        <w:ind w:firstLine="640" w:firstLineChars="200"/>
      </w:pPr>
      <w:r>
        <w:rPr>
          <w:rFonts w:hint="eastAsia"/>
        </w:rPr>
        <w:t>报价得分=（评标基准价/报价）×价格权值×100。</w:t>
      </w:r>
    </w:p>
    <w:p>
      <w:pPr>
        <w:pStyle w:val="13"/>
        <w:ind w:firstLine="640" w:firstLineChars="200"/>
      </w:pPr>
      <w:r>
        <w:rPr>
          <w:rFonts w:hint="eastAsia"/>
        </w:rPr>
        <w:t>2、技术分（50分）</w:t>
      </w:r>
    </w:p>
    <w:p>
      <w:pPr>
        <w:pStyle w:val="13"/>
        <w:ind w:firstLine="640" w:firstLineChars="200"/>
      </w:pPr>
      <w:r>
        <w:rPr>
          <w:rFonts w:hint="eastAsia"/>
        </w:rPr>
        <w:t>由谈判小组根据各竞标人提交的组织实施方案、服务团队情况、服务质量承诺等技术响应内容确定各竞标人分数。</w:t>
      </w:r>
    </w:p>
    <w:p>
      <w:pPr>
        <w:pStyle w:val="13"/>
        <w:ind w:firstLine="640" w:firstLineChars="200"/>
      </w:pPr>
      <w:r>
        <w:rPr>
          <w:rFonts w:hint="eastAsia"/>
        </w:rPr>
        <w:t>3、商务分（10分）</w:t>
      </w:r>
    </w:p>
    <w:p>
      <w:pPr>
        <w:pStyle w:val="13"/>
        <w:ind w:firstLine="640" w:firstLineChars="200"/>
      </w:pPr>
      <w:r>
        <w:rPr>
          <w:rFonts w:hint="eastAsia"/>
        </w:rPr>
        <w:t>竞标人同类业绩（提供近三年承担的类似项目业绩一览表，并提供清晰反应采购内容的合同复印件），每提供一个同类业绩合同得2分，满分10分。</w:t>
      </w:r>
    </w:p>
    <w:p>
      <w:pPr>
        <w:pStyle w:val="13"/>
        <w:spacing w:line="240" w:lineRule="exact"/>
        <w:ind w:firstLine="643" w:firstLineChars="200"/>
        <w:rPr>
          <w:b/>
        </w:rPr>
      </w:pPr>
    </w:p>
    <w:p>
      <w:pPr>
        <w:pStyle w:val="13"/>
        <w:ind w:firstLine="643" w:firstLineChars="200"/>
        <w:rPr>
          <w:b/>
        </w:rPr>
      </w:pPr>
      <w:r>
        <w:rPr>
          <w:rFonts w:hint="eastAsia"/>
          <w:b/>
        </w:rPr>
        <w:t>总得分=1+2+3</w:t>
      </w:r>
    </w:p>
    <w:p>
      <w:pPr>
        <w:pStyle w:val="13"/>
        <w:ind w:firstLine="643" w:firstLineChars="200"/>
        <w:rPr>
          <w:b/>
        </w:rPr>
      </w:pPr>
    </w:p>
    <w:p>
      <w:pPr>
        <w:pStyle w:val="3"/>
        <w:spacing w:before="0" w:after="0"/>
        <w:jc w:val="center"/>
        <w:rPr>
          <w:rFonts w:ascii="仿宋_GB2312" w:hAnsi="宋体" w:eastAsia="仿宋_GB2312"/>
        </w:rPr>
      </w:pPr>
      <w:bookmarkStart w:id="3" w:name="_Toc11772545"/>
      <w:r>
        <w:rPr>
          <w:rFonts w:hint="eastAsia" w:ascii="仿宋_GB2312" w:hAnsi="宋体" w:eastAsia="仿宋_GB2312"/>
        </w:rPr>
        <w:t>第三章 采购项目技术规范及要求</w:t>
      </w:r>
      <w:bookmarkEnd w:id="3"/>
    </w:p>
    <w:p>
      <w:pPr>
        <w:pStyle w:val="13"/>
        <w:ind w:firstLine="640" w:firstLineChars="200"/>
      </w:pPr>
      <w:r>
        <w:rPr>
          <w:rFonts w:hint="eastAsia"/>
        </w:rPr>
        <w:t>一、采购项目名称：2020年深圳市融资租赁行业清理规范工作</w:t>
      </w:r>
    </w:p>
    <w:p>
      <w:pPr>
        <w:pStyle w:val="13"/>
        <w:ind w:firstLine="640" w:firstLineChars="200"/>
      </w:pPr>
      <w:r>
        <w:rPr>
          <w:rFonts w:hint="eastAsia"/>
        </w:rPr>
        <w:t>二、采购项目类别：服务</w:t>
      </w:r>
    </w:p>
    <w:p>
      <w:pPr>
        <w:pStyle w:val="13"/>
        <w:ind w:firstLine="640" w:firstLineChars="200"/>
      </w:pPr>
      <w:r>
        <w:rPr>
          <w:rFonts w:hint="eastAsia"/>
        </w:rPr>
        <w:t>三、采购项目需求一览表：</w:t>
      </w:r>
    </w:p>
    <w:tbl>
      <w:tblPr>
        <w:tblStyle w:val="8"/>
        <w:tblW w:w="97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972"/>
        <w:gridCol w:w="1134"/>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b/>
                <w:sz w:val="28"/>
                <w:szCs w:val="28"/>
              </w:rPr>
            </w:pPr>
            <w:r>
              <w:rPr>
                <w:rFonts w:hint="eastAsia" w:ascii="仿宋_GB2312" w:hAnsi="宋体" w:eastAsia="仿宋_GB2312"/>
                <w:b/>
                <w:sz w:val="28"/>
                <w:szCs w:val="28"/>
              </w:rPr>
              <w:t>一、项目要求及技术要求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项号</w:t>
            </w:r>
          </w:p>
        </w:tc>
        <w:tc>
          <w:tcPr>
            <w:tcW w:w="21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采购内容</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数量</w:t>
            </w:r>
          </w:p>
        </w:tc>
        <w:tc>
          <w:tcPr>
            <w:tcW w:w="584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b/>
                <w:sz w:val="28"/>
                <w:szCs w:val="28"/>
              </w:rPr>
            </w:pPr>
            <w:r>
              <w:rPr>
                <w:rFonts w:hint="eastAsia" w:ascii="仿宋_GB2312" w:hAnsi="宋体" w:eastAsia="仿宋_GB2312"/>
                <w:b/>
                <w:sz w:val="28"/>
                <w:szCs w:val="28"/>
              </w:rPr>
              <w:t>项目要求及技术要求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Times New Roman" w:eastAsia="仿宋_GB2312"/>
                <w:sz w:val="28"/>
                <w:szCs w:val="28"/>
              </w:rPr>
            </w:pPr>
            <w:r>
              <w:rPr>
                <w:rFonts w:hint="eastAsia" w:ascii="仿宋_GB2312" w:hAnsi="Times New Roman" w:eastAsia="仿宋_GB2312"/>
                <w:sz w:val="28"/>
                <w:szCs w:val="28"/>
              </w:rPr>
              <w:t>1</w:t>
            </w:r>
          </w:p>
        </w:tc>
        <w:tc>
          <w:tcPr>
            <w:tcW w:w="210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cs="宋体"/>
                <w:sz w:val="28"/>
                <w:szCs w:val="28"/>
              </w:rPr>
            </w:pPr>
            <w:r>
              <w:rPr>
                <w:rFonts w:hint="eastAsia" w:ascii="仿宋_GB2312" w:hAnsi="宋体" w:eastAsia="仿宋_GB2312" w:cs="宋体"/>
                <w:sz w:val="28"/>
                <w:szCs w:val="28"/>
              </w:rPr>
              <w:t>2020年深圳市融资租赁行业清理规范工作</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Times New Roman" w:eastAsia="仿宋_GB2312"/>
                <w:sz w:val="28"/>
                <w:szCs w:val="28"/>
              </w:rPr>
            </w:pPr>
            <w:r>
              <w:rPr>
                <w:rFonts w:hint="eastAsia" w:ascii="仿宋_GB2312" w:hAnsi="Times New Roman" w:eastAsia="仿宋_GB2312"/>
                <w:sz w:val="28"/>
                <w:szCs w:val="28"/>
              </w:rPr>
              <w:t>1项</w:t>
            </w:r>
          </w:p>
        </w:tc>
        <w:tc>
          <w:tcPr>
            <w:tcW w:w="58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Times New Roman" w:eastAsia="仿宋_GB2312"/>
                <w:sz w:val="28"/>
                <w:szCs w:val="28"/>
              </w:rPr>
            </w:pPr>
            <w:r>
              <w:rPr>
                <w:rFonts w:hint="eastAsia" w:ascii="仿宋_GB2312" w:hAnsi="Times New Roman" w:eastAsia="仿宋_GB2312"/>
                <w:sz w:val="28"/>
                <w:szCs w:val="28"/>
              </w:rPr>
              <w:t>（一）服务内容：1.协助对注册在我市的融资租赁公司进行清理排查；2.协助研究制定《深圳市融资租赁公司监督管理暂行办法实施细则》；3.开展各地融资租赁行业扶持政策对比分析，结合我市实际研究提出融资租赁行业发展扶持的政策建议</w:t>
            </w:r>
            <w:r>
              <w:rPr>
                <w:rFonts w:hint="eastAsia" w:ascii="仿宋_GB2312" w:eastAsia="仿宋_GB2312"/>
                <w:sz w:val="28"/>
                <w:szCs w:val="28"/>
              </w:rPr>
              <w:t>。</w:t>
            </w:r>
          </w:p>
          <w:p>
            <w:pPr>
              <w:spacing w:line="360" w:lineRule="exact"/>
              <w:rPr>
                <w:rFonts w:ascii="仿宋_GB2312" w:hAnsi="Times New Roman" w:eastAsia="仿宋_GB2312"/>
                <w:sz w:val="28"/>
                <w:szCs w:val="28"/>
              </w:rPr>
            </w:pPr>
            <w:r>
              <w:rPr>
                <w:rFonts w:hint="eastAsia" w:ascii="仿宋_GB2312" w:hAnsi="宋体" w:eastAsia="仿宋_GB2312"/>
                <w:sz w:val="28"/>
                <w:szCs w:val="28"/>
              </w:rPr>
              <w:t>★</w:t>
            </w:r>
            <w:r>
              <w:rPr>
                <w:rFonts w:hint="eastAsia" w:ascii="仿宋_GB2312" w:hAnsi="Times New Roman" w:eastAsia="仿宋_GB2312"/>
                <w:sz w:val="28"/>
                <w:szCs w:val="28"/>
              </w:rPr>
              <w:t>（二）服务要求：</w:t>
            </w:r>
          </w:p>
          <w:p>
            <w:pPr>
              <w:spacing w:line="360" w:lineRule="exact"/>
              <w:rPr>
                <w:rFonts w:ascii="仿宋_GB2312" w:hAnsi="Times New Roman" w:eastAsia="仿宋_GB2312"/>
                <w:sz w:val="28"/>
                <w:szCs w:val="28"/>
                <w:u w:val="single"/>
              </w:rPr>
            </w:pPr>
            <w:r>
              <w:rPr>
                <w:rFonts w:hint="eastAsia" w:ascii="仿宋_GB2312" w:hAnsi="Times New Roman" w:eastAsia="仿宋_GB2312"/>
                <w:sz w:val="28"/>
                <w:szCs w:val="28"/>
                <w:u w:val="single"/>
              </w:rPr>
              <w:t>1、项目团队人数要求：5人</w:t>
            </w:r>
          </w:p>
          <w:p>
            <w:pPr>
              <w:spacing w:line="360" w:lineRule="exact"/>
              <w:rPr>
                <w:rFonts w:ascii="仿宋_GB2312" w:hAnsi="Times New Roman" w:eastAsia="仿宋_GB2312"/>
                <w:sz w:val="28"/>
                <w:szCs w:val="28"/>
                <w:u w:val="single"/>
              </w:rPr>
            </w:pPr>
            <w:r>
              <w:rPr>
                <w:rFonts w:hint="eastAsia" w:ascii="仿宋_GB2312" w:hAnsi="Times New Roman" w:eastAsia="仿宋_GB2312"/>
                <w:sz w:val="28"/>
                <w:szCs w:val="28"/>
                <w:u w:val="single"/>
              </w:rPr>
              <w:t>2、项目团队人员专业背景和服务经验要求：金融行业领域人才优先，具有相应专业知识和类似服务经验</w:t>
            </w:r>
          </w:p>
          <w:p>
            <w:pPr>
              <w:spacing w:line="360" w:lineRule="exact"/>
              <w:rPr>
                <w:rFonts w:ascii="仿宋_GB2312" w:hAnsi="Times New Roman" w:eastAsia="仿宋_GB2312"/>
                <w:sz w:val="28"/>
                <w:szCs w:val="28"/>
                <w:u w:val="single"/>
              </w:rPr>
            </w:pPr>
            <w:r>
              <w:rPr>
                <w:rFonts w:hint="eastAsia" w:ascii="仿宋_GB2312" w:hAnsi="Times New Roman" w:eastAsia="仿宋_GB2312"/>
                <w:sz w:val="28"/>
                <w:szCs w:val="28"/>
                <w:u w:val="single"/>
              </w:rPr>
              <w:t>3、竞标文件中提供针对此次采购服务所做的服务工作方案、服务质量承诺、拟投入项目人员情况一览表。竞标人在实施项目过程中的交通费、差旅费、住宿费、伙食费自理，所有费用均应包含在竞标报价中，不再另做结算。竞标人实施项目工作期间如出现项目人员人身、财产安全事故、损失等由竞标人全部负责，采购人不负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5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仿宋_GB2312" w:hAnsi="宋体" w:eastAsia="仿宋_GB2312"/>
                <w:b/>
                <w:sz w:val="28"/>
                <w:szCs w:val="28"/>
              </w:rPr>
            </w:pPr>
            <w:r>
              <w:rPr>
                <w:rFonts w:hint="eastAsia" w:ascii="仿宋_GB2312" w:hAnsi="宋体" w:eastAsia="仿宋_GB2312"/>
                <w:b/>
                <w:sz w:val="28"/>
                <w:szCs w:val="28"/>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★服务完成时间、地点</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420" w:hanging="420" w:hangingChars="150"/>
              <w:jc w:val="left"/>
              <w:rPr>
                <w:rFonts w:hint="eastAsia" w:ascii="仿宋_GB2312" w:hAnsi="宋体" w:eastAsia="仿宋_GB2312"/>
                <w:sz w:val="28"/>
                <w:szCs w:val="28"/>
                <w:u w:val="single"/>
              </w:rPr>
            </w:pPr>
            <w:r>
              <w:rPr>
                <w:rFonts w:hint="eastAsia" w:ascii="仿宋_GB2312" w:hAnsi="宋体" w:eastAsia="仿宋_GB2312"/>
                <w:sz w:val="28"/>
                <w:szCs w:val="28"/>
                <w:u w:val="single"/>
              </w:rPr>
              <w:t>服务完成时间：2020年12月31日前</w:t>
            </w:r>
          </w:p>
          <w:p>
            <w:pPr>
              <w:spacing w:line="360" w:lineRule="exact"/>
              <w:ind w:left="420" w:hanging="420" w:hangingChars="150"/>
              <w:jc w:val="left"/>
              <w:rPr>
                <w:rFonts w:ascii="仿宋_GB2312" w:hAnsi="宋体" w:eastAsia="仿宋_GB2312"/>
                <w:sz w:val="28"/>
                <w:szCs w:val="28"/>
              </w:rPr>
            </w:pPr>
            <w:r>
              <w:rPr>
                <w:rFonts w:hint="eastAsia" w:ascii="仿宋_GB2312" w:hAnsi="宋体" w:eastAsia="仿宋_GB2312"/>
                <w:sz w:val="28"/>
                <w:szCs w:val="28"/>
                <w:u w:val="single"/>
              </w:rPr>
              <w:t>服务地点：采购单位指定地点。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cs="宋体"/>
                <w:kern w:val="0"/>
                <w:sz w:val="28"/>
                <w:szCs w:val="28"/>
              </w:rPr>
            </w:pPr>
            <w:r>
              <w:rPr>
                <w:rFonts w:hint="eastAsia" w:ascii="仿宋_GB2312" w:hAnsi="宋体" w:eastAsia="仿宋_GB2312"/>
                <w:sz w:val="28"/>
                <w:szCs w:val="28"/>
              </w:rPr>
              <w:t>★付款方式</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 w:val="28"/>
                <w:szCs w:val="28"/>
                <w:u w:val="single"/>
              </w:rPr>
            </w:pPr>
            <w:r>
              <w:rPr>
                <w:rFonts w:hint="eastAsia" w:ascii="仿宋_GB2312" w:hAnsi="宋体" w:eastAsia="仿宋_GB2312"/>
                <w:sz w:val="28"/>
                <w:szCs w:val="28"/>
                <w:u w:val="single"/>
              </w:rPr>
              <w:t>采购人和成交人可在合同中约定分期付款。在项目完成后成交人将项目成果报告交付采购人，并由采购人验收合格后，采购人完成全部合同款的支付。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其他要求</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仿宋" w:eastAsia="仿宋_GB2312"/>
                <w:sz w:val="28"/>
                <w:szCs w:val="28"/>
              </w:rPr>
            </w:pPr>
            <w:r>
              <w:rPr>
                <w:rFonts w:hint="eastAsia" w:ascii="仿宋_GB2312" w:hAnsi="仿宋" w:eastAsia="仿宋_GB2312"/>
                <w:sz w:val="28"/>
                <w:szCs w:val="28"/>
              </w:rPr>
              <w:t xml:space="preserve">★1、竞标报价必须包括服务的各种费用和售后服务、税金及其他所有成本费用的总和。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80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_GB2312" w:hAnsi="宋体" w:eastAsia="仿宋_GB2312"/>
                <w:sz w:val="28"/>
                <w:szCs w:val="28"/>
              </w:rPr>
            </w:pPr>
            <w:r>
              <w:rPr>
                <w:rFonts w:hint="eastAsia" w:ascii="仿宋_GB2312" w:hAnsi="宋体" w:eastAsia="仿宋_GB2312"/>
                <w:sz w:val="28"/>
                <w:szCs w:val="28"/>
              </w:rPr>
              <w:t>备注</w:t>
            </w:r>
          </w:p>
        </w:tc>
        <w:tc>
          <w:tcPr>
            <w:tcW w:w="794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r>
              <w:rPr>
                <w:rFonts w:hint="eastAsia" w:ascii="仿宋_GB2312" w:hAnsi="宋体" w:eastAsia="仿宋_GB2312"/>
                <w:sz w:val="28"/>
                <w:szCs w:val="28"/>
              </w:rPr>
              <w:t>本表中标记有★的要求为实质性要求，如不满足则竞标无效。</w:t>
            </w:r>
          </w:p>
        </w:tc>
      </w:tr>
    </w:tbl>
    <w:p>
      <w:pPr>
        <w:jc w:val="center"/>
        <w:rPr>
          <w:rFonts w:ascii="仿宋_GB2312" w:hAnsi="宋体" w:eastAsia="仿宋_GB2312"/>
        </w:rPr>
      </w:pPr>
      <w:bookmarkStart w:id="4" w:name="_Toc11772546"/>
      <w:r>
        <w:rPr>
          <w:rFonts w:hint="eastAsia" w:ascii="仿宋_GB2312" w:hAnsi="宋体" w:eastAsia="仿宋_GB2312"/>
        </w:rPr>
        <w:br w:type="page"/>
      </w:r>
    </w:p>
    <w:p>
      <w:pPr>
        <w:pStyle w:val="3"/>
        <w:jc w:val="center"/>
        <w:rPr>
          <w:rFonts w:ascii="仿宋_GB2312" w:hAnsi="宋体" w:eastAsia="仿宋_GB2312"/>
        </w:rPr>
      </w:pPr>
      <w:r>
        <w:rPr>
          <w:rFonts w:hint="eastAsia" w:ascii="仿宋_GB2312" w:hAnsi="宋体" w:eastAsia="仿宋_GB2312"/>
        </w:rPr>
        <w:t>第四章 响应文件基本格式</w:t>
      </w:r>
      <w:bookmarkEnd w:id="4"/>
    </w:p>
    <w:p>
      <w:pPr>
        <w:spacing w:beforeLines="50" w:afterLines="50" w:line="560" w:lineRule="exact"/>
        <w:jc w:val="center"/>
        <w:rPr>
          <w:rFonts w:ascii="仿宋_GB2312" w:hAnsi="宋体" w:eastAsia="仿宋_GB2312"/>
          <w:b/>
          <w:sz w:val="44"/>
          <w:szCs w:val="44"/>
        </w:rPr>
      </w:pPr>
      <w:r>
        <w:rPr>
          <w:rFonts w:hint="eastAsia" w:ascii="仿宋_GB2312" w:hAnsi="宋体" w:eastAsia="仿宋_GB2312"/>
          <w:b/>
          <w:sz w:val="44"/>
          <w:szCs w:val="44"/>
        </w:rPr>
        <w:t>一、报价函</w:t>
      </w:r>
    </w:p>
    <w:p>
      <w:pPr>
        <w:pStyle w:val="4"/>
        <w:spacing w:line="360" w:lineRule="auto"/>
        <w:rPr>
          <w:rFonts w:ascii="Times New Roman"/>
          <w:sz w:val="24"/>
        </w:rPr>
      </w:pPr>
      <w:r>
        <w:rPr>
          <w:rFonts w:hint="eastAsia" w:ascii="Times New Roman"/>
          <w:sz w:val="24"/>
        </w:rPr>
        <w:t>致：（采购人）</w:t>
      </w:r>
    </w:p>
    <w:p>
      <w:pPr>
        <w:spacing w:line="560" w:lineRule="exact"/>
        <w:ind w:firstLine="480" w:firstLineChars="200"/>
        <w:jc w:val="left"/>
        <w:rPr>
          <w:sz w:val="24"/>
        </w:rPr>
      </w:pPr>
      <w:r>
        <w:rPr>
          <w:rFonts w:hint="eastAsia"/>
          <w:sz w:val="24"/>
        </w:rPr>
        <w:t>根据贵方</w:t>
      </w:r>
      <w:r>
        <w:rPr>
          <w:rFonts w:hint="eastAsia"/>
          <w:sz w:val="24"/>
          <w:u w:val="single"/>
        </w:rPr>
        <w:t>（项目名称）</w:t>
      </w:r>
      <w:r>
        <w:rPr>
          <w:rFonts w:hint="eastAsia"/>
          <w:sz w:val="24"/>
        </w:rPr>
        <w:t>项目政府采购的邀请，正式授权下述签字人</w:t>
      </w:r>
      <w:r>
        <w:rPr>
          <w:rFonts w:hint="eastAsia"/>
          <w:sz w:val="24"/>
          <w:u w:val="single"/>
        </w:rPr>
        <w:t>（姓名和职务）</w:t>
      </w:r>
      <w:r>
        <w:rPr>
          <w:rFonts w:hint="eastAsia"/>
          <w:sz w:val="24"/>
        </w:rPr>
        <w:t>全权代表磋商供应商</w:t>
      </w:r>
      <w:r>
        <w:rPr>
          <w:rFonts w:hint="eastAsia"/>
          <w:sz w:val="24"/>
          <w:u w:val="single"/>
        </w:rPr>
        <w:t>（应商名称、地址）</w:t>
      </w:r>
      <w:r>
        <w:rPr>
          <w:rFonts w:hint="eastAsia"/>
          <w:sz w:val="24"/>
        </w:rPr>
        <w:t>参加贵方组织的有关采购活动。</w:t>
      </w:r>
    </w:p>
    <w:p>
      <w:pPr>
        <w:spacing w:line="560" w:lineRule="exact"/>
        <w:ind w:firstLine="480" w:firstLineChars="200"/>
        <w:jc w:val="left"/>
        <w:rPr>
          <w:sz w:val="24"/>
        </w:rPr>
      </w:pPr>
      <w:r>
        <w:rPr>
          <w:rFonts w:hint="eastAsia"/>
          <w:sz w:val="24"/>
        </w:rPr>
        <w:t>1.提供采购文件规定的全部响应文件；</w:t>
      </w:r>
    </w:p>
    <w:p>
      <w:pPr>
        <w:spacing w:line="560" w:lineRule="exact"/>
        <w:ind w:firstLine="480" w:firstLineChars="200"/>
        <w:jc w:val="left"/>
        <w:rPr>
          <w:sz w:val="24"/>
        </w:rPr>
      </w:pPr>
      <w:r>
        <w:rPr>
          <w:rFonts w:hint="eastAsia"/>
          <w:sz w:val="24"/>
        </w:rPr>
        <w:t>2.报价为（固定总价）      万元。</w:t>
      </w:r>
    </w:p>
    <w:p>
      <w:pPr>
        <w:spacing w:line="560" w:lineRule="exact"/>
        <w:ind w:firstLine="480" w:firstLineChars="200"/>
        <w:jc w:val="left"/>
        <w:rPr>
          <w:sz w:val="24"/>
        </w:rPr>
      </w:pPr>
      <w:r>
        <w:rPr>
          <w:rFonts w:hint="eastAsia"/>
          <w:sz w:val="24"/>
        </w:rPr>
        <w:t>在此，授权代表宣布同意如下：</w:t>
      </w:r>
    </w:p>
    <w:p>
      <w:pPr>
        <w:spacing w:line="560" w:lineRule="exact"/>
        <w:ind w:firstLine="480" w:firstLineChars="200"/>
        <w:jc w:val="left"/>
        <w:rPr>
          <w:sz w:val="24"/>
        </w:rPr>
      </w:pPr>
      <w:r>
        <w:rPr>
          <w:rFonts w:hint="eastAsia"/>
          <w:sz w:val="24"/>
        </w:rPr>
        <w:t>1. 将按采购文件的约定履行合同责任和义务；</w:t>
      </w:r>
    </w:p>
    <w:p>
      <w:pPr>
        <w:spacing w:line="560" w:lineRule="exact"/>
        <w:ind w:firstLine="480" w:firstLineChars="200"/>
        <w:jc w:val="left"/>
        <w:rPr>
          <w:sz w:val="24"/>
        </w:rPr>
      </w:pPr>
      <w:r>
        <w:rPr>
          <w:rFonts w:hint="eastAsia"/>
          <w:sz w:val="24"/>
        </w:rPr>
        <w:t>2. 已详细审查全部采购文件，包括（补遗书）（如果有的话）；我们完全理解并同意放弃对这方面有不明及误解的权力；</w:t>
      </w:r>
    </w:p>
    <w:p>
      <w:pPr>
        <w:spacing w:line="560" w:lineRule="exact"/>
        <w:ind w:firstLine="480" w:firstLineChars="200"/>
        <w:jc w:val="left"/>
        <w:rPr>
          <w:sz w:val="24"/>
        </w:rPr>
      </w:pPr>
      <w:r>
        <w:rPr>
          <w:rFonts w:hint="eastAsia"/>
          <w:sz w:val="24"/>
        </w:rPr>
        <w:t xml:space="preserve">3. 愿意向贵方提供任何与该项谈判有关的数据、情况和技术资料。  </w:t>
      </w:r>
    </w:p>
    <w:p>
      <w:pPr>
        <w:spacing w:line="560" w:lineRule="exact"/>
        <w:ind w:firstLine="480" w:firstLineChars="200"/>
        <w:jc w:val="left"/>
        <w:rPr>
          <w:sz w:val="24"/>
        </w:rPr>
      </w:pPr>
    </w:p>
    <w:p>
      <w:pPr>
        <w:pStyle w:val="4"/>
        <w:spacing w:line="360" w:lineRule="auto"/>
        <w:ind w:firstLine="480" w:firstLineChars="200"/>
        <w:rPr>
          <w:rFonts w:ascii="Times New Roman"/>
          <w:sz w:val="24"/>
        </w:rPr>
      </w:pPr>
      <w:r>
        <w:rPr>
          <w:rFonts w:hint="eastAsia" w:ascii="Times New Roman"/>
          <w:sz w:val="24"/>
        </w:rPr>
        <w:t>地址：邮政编码：</w:t>
      </w:r>
    </w:p>
    <w:p>
      <w:pPr>
        <w:pStyle w:val="4"/>
        <w:spacing w:line="360" w:lineRule="auto"/>
        <w:ind w:firstLine="480" w:firstLineChars="200"/>
        <w:rPr>
          <w:rFonts w:ascii="Times New Roman"/>
          <w:sz w:val="24"/>
        </w:rPr>
      </w:pPr>
      <w:r>
        <w:rPr>
          <w:rFonts w:hint="eastAsia" w:ascii="Times New Roman"/>
          <w:sz w:val="24"/>
        </w:rPr>
        <w:t>电话：传真：</w:t>
      </w:r>
      <w:r>
        <w:rPr>
          <w:rFonts w:hint="eastAsia" w:ascii="Times New Roman"/>
          <w:sz w:val="24"/>
          <w:u w:val="single"/>
        </w:rPr>
        <w:t xml:space="preserve">　　　　　　　　 </w:t>
      </w:r>
    </w:p>
    <w:p>
      <w:pPr>
        <w:pStyle w:val="4"/>
        <w:spacing w:line="360" w:lineRule="auto"/>
        <w:ind w:firstLine="480" w:firstLineChars="200"/>
        <w:rPr>
          <w:rFonts w:ascii="Times New Roman"/>
          <w:sz w:val="24"/>
          <w:u w:val="single"/>
        </w:rPr>
      </w:pPr>
      <w:r>
        <w:rPr>
          <w:rFonts w:hint="eastAsia" w:ascii="Times New Roman"/>
          <w:sz w:val="24"/>
        </w:rPr>
        <w:t>开户名称：</w:t>
      </w:r>
    </w:p>
    <w:p>
      <w:pPr>
        <w:pStyle w:val="4"/>
        <w:spacing w:line="360" w:lineRule="auto"/>
        <w:ind w:firstLine="480" w:firstLineChars="200"/>
        <w:rPr>
          <w:rFonts w:ascii="Times New Roman"/>
          <w:sz w:val="24"/>
          <w:u w:val="single"/>
        </w:rPr>
      </w:pPr>
      <w:r>
        <w:rPr>
          <w:rFonts w:hint="eastAsia" w:ascii="Times New Roman"/>
          <w:sz w:val="24"/>
        </w:rPr>
        <w:t>开户银行：</w:t>
      </w:r>
    </w:p>
    <w:p>
      <w:pPr>
        <w:pStyle w:val="4"/>
        <w:spacing w:line="360" w:lineRule="auto"/>
        <w:ind w:firstLine="480" w:firstLineChars="200"/>
        <w:rPr>
          <w:rFonts w:ascii="Times New Roman"/>
          <w:sz w:val="24"/>
          <w:u w:val="single"/>
        </w:rPr>
      </w:pPr>
      <w:r>
        <w:rPr>
          <w:rFonts w:hint="eastAsia" w:ascii="Times New Roman"/>
          <w:sz w:val="24"/>
        </w:rPr>
        <w:t>帐号：</w:t>
      </w:r>
    </w:p>
    <w:p>
      <w:pPr>
        <w:pStyle w:val="4"/>
        <w:spacing w:line="360" w:lineRule="auto"/>
        <w:ind w:firstLine="480" w:firstLineChars="200"/>
        <w:rPr>
          <w:rFonts w:ascii="Times New Roman"/>
          <w:sz w:val="24"/>
        </w:rPr>
      </w:pPr>
      <w:r>
        <w:rPr>
          <w:rFonts w:hint="eastAsia" w:ascii="Times New Roman"/>
          <w:sz w:val="24"/>
        </w:rPr>
        <w:t>法定代表人或其委托代理人签字：</w:t>
      </w:r>
    </w:p>
    <w:p>
      <w:pPr>
        <w:pStyle w:val="4"/>
        <w:spacing w:line="360" w:lineRule="auto"/>
        <w:ind w:firstLine="480" w:firstLineChars="200"/>
        <w:rPr>
          <w:rFonts w:ascii="Times New Roman"/>
          <w:sz w:val="24"/>
          <w:u w:val="single"/>
        </w:rPr>
      </w:pPr>
      <w:r>
        <w:rPr>
          <w:rFonts w:hint="eastAsia" w:ascii="Times New Roman"/>
          <w:sz w:val="24"/>
        </w:rPr>
        <w:t>供应商名称（盖单位公章）：</w:t>
      </w:r>
    </w:p>
    <w:p>
      <w:pPr>
        <w:pStyle w:val="4"/>
        <w:spacing w:line="360" w:lineRule="auto"/>
        <w:ind w:firstLine="480" w:firstLineChars="200"/>
        <w:rPr>
          <w:sz w:val="24"/>
          <w:u w:val="single"/>
        </w:rPr>
      </w:pPr>
      <w:r>
        <w:rPr>
          <w:rFonts w:hint="eastAsia"/>
          <w:sz w:val="24"/>
        </w:rPr>
        <w:t>日期：</w:t>
      </w:r>
      <w:r>
        <w:rPr>
          <w:rFonts w:hint="eastAsia"/>
          <w:sz w:val="24"/>
          <w:u w:val="single"/>
        </w:rPr>
        <w:t xml:space="preserve">      年   月    日</w:t>
      </w:r>
    </w:p>
    <w:p>
      <w:pPr>
        <w:pStyle w:val="4"/>
        <w:spacing w:line="360" w:lineRule="auto"/>
        <w:ind w:firstLine="480" w:firstLineChars="200"/>
        <w:jc w:val="center"/>
        <w:rPr>
          <w:sz w:val="24"/>
          <w:u w:val="single"/>
        </w:rPr>
      </w:pPr>
      <w:r>
        <w:rPr>
          <w:sz w:val="24"/>
          <w:u w:val="single"/>
        </w:rPr>
        <w:br w:type="page"/>
      </w:r>
      <w:r>
        <w:rPr>
          <w:rFonts w:hint="eastAsia" w:ascii="仿宋_GB2312" w:hAnsi="宋体" w:eastAsia="仿宋_GB2312"/>
          <w:b/>
          <w:sz w:val="44"/>
          <w:szCs w:val="44"/>
        </w:rPr>
        <w:t>二、报价表</w:t>
      </w:r>
    </w:p>
    <w:p>
      <w:pPr>
        <w:spacing w:beforeLines="50" w:afterLines="50" w:line="560" w:lineRule="exact"/>
        <w:jc w:val="center"/>
        <w:rPr>
          <w:rFonts w:ascii="仿宋_GB2312" w:hAnsi="宋体" w:eastAsia="仿宋_GB2312"/>
          <w:b/>
          <w:sz w:val="44"/>
          <w:szCs w:val="44"/>
        </w:rPr>
      </w:pPr>
    </w:p>
    <w:p>
      <w:pPr>
        <w:spacing w:line="500" w:lineRule="exact"/>
        <w:rPr>
          <w:rFonts w:ascii="仿宋_GB2312" w:hAnsi="仿宋" w:eastAsia="仿宋_GB2312"/>
          <w:sz w:val="28"/>
          <w:szCs w:val="28"/>
        </w:rPr>
      </w:pPr>
      <w:r>
        <w:rPr>
          <w:rFonts w:hint="eastAsia" w:ascii="仿宋_GB2312" w:hAnsi="仿宋" w:eastAsia="仿宋_GB2312"/>
          <w:sz w:val="28"/>
          <w:szCs w:val="28"/>
        </w:rPr>
        <w:t>采购项目名称:</w:t>
      </w:r>
    </w:p>
    <w:tbl>
      <w:tblPr>
        <w:tblStyle w:val="8"/>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项号</w:t>
            </w:r>
          </w:p>
        </w:tc>
        <w:tc>
          <w:tcPr>
            <w:tcW w:w="2936" w:type="dxa"/>
            <w:vAlign w:val="center"/>
          </w:tcPr>
          <w:p>
            <w:pPr>
              <w:jc w:val="center"/>
              <w:rPr>
                <w:rFonts w:ascii="仿宋_GB2312" w:hAnsi="仿宋" w:eastAsia="仿宋_GB2312"/>
                <w:sz w:val="28"/>
                <w:szCs w:val="28"/>
              </w:rPr>
            </w:pPr>
            <w:r>
              <w:rPr>
                <w:rFonts w:hint="eastAsia" w:ascii="仿宋_GB2312" w:hAnsi="仿宋" w:eastAsia="仿宋_GB2312"/>
                <w:sz w:val="28"/>
                <w:szCs w:val="28"/>
              </w:rPr>
              <w:t>采购内容</w:t>
            </w:r>
          </w:p>
        </w:tc>
        <w:tc>
          <w:tcPr>
            <w:tcW w:w="1134" w:type="dxa"/>
            <w:vAlign w:val="center"/>
          </w:tcPr>
          <w:p>
            <w:pPr>
              <w:jc w:val="center"/>
              <w:rPr>
                <w:rFonts w:ascii="仿宋_GB2312" w:hAnsi="仿宋" w:eastAsia="仿宋_GB2312"/>
                <w:sz w:val="28"/>
                <w:szCs w:val="28"/>
              </w:rPr>
            </w:pPr>
            <w:r>
              <w:rPr>
                <w:rFonts w:hint="eastAsia" w:ascii="仿宋_GB2312" w:hAnsi="仿宋" w:eastAsia="仿宋_GB2312"/>
                <w:sz w:val="28"/>
                <w:szCs w:val="28"/>
              </w:rPr>
              <w:t>数量</w:t>
            </w:r>
          </w:p>
          <w:p>
            <w:pPr>
              <w:jc w:val="center"/>
              <w:rPr>
                <w:rFonts w:ascii="仿宋_GB2312" w:hAnsi="仿宋" w:eastAsia="仿宋_GB2312"/>
                <w:sz w:val="28"/>
                <w:szCs w:val="28"/>
              </w:rPr>
            </w:pPr>
            <w:r>
              <w:rPr>
                <w:rFonts w:hint="eastAsia" w:ascii="仿宋_GB2312" w:hAnsi="仿宋" w:eastAsia="仿宋_GB2312"/>
                <w:sz w:val="28"/>
                <w:szCs w:val="28"/>
              </w:rPr>
              <w:t>①</w:t>
            </w:r>
          </w:p>
        </w:tc>
        <w:tc>
          <w:tcPr>
            <w:tcW w:w="1276" w:type="dxa"/>
            <w:vAlign w:val="center"/>
          </w:tcPr>
          <w:p>
            <w:pPr>
              <w:jc w:val="center"/>
              <w:rPr>
                <w:rFonts w:ascii="仿宋_GB2312" w:hAnsi="仿宋" w:eastAsia="仿宋_GB2312"/>
                <w:sz w:val="28"/>
                <w:szCs w:val="28"/>
              </w:rPr>
            </w:pPr>
            <w:r>
              <w:rPr>
                <w:rFonts w:hint="eastAsia" w:ascii="仿宋_GB2312" w:hAnsi="仿宋" w:eastAsia="仿宋_GB2312"/>
                <w:sz w:val="28"/>
                <w:szCs w:val="28"/>
              </w:rPr>
              <w:t>单价</w:t>
            </w:r>
          </w:p>
          <w:p>
            <w:pPr>
              <w:jc w:val="center"/>
              <w:rPr>
                <w:rFonts w:ascii="仿宋_GB2312" w:hAnsi="仿宋" w:eastAsia="仿宋_GB2312"/>
                <w:sz w:val="28"/>
                <w:szCs w:val="28"/>
              </w:rPr>
            </w:pPr>
            <w:r>
              <w:rPr>
                <w:rFonts w:hint="eastAsia" w:ascii="仿宋_GB2312" w:hAnsi="仿宋" w:eastAsia="仿宋_GB2312"/>
                <w:sz w:val="28"/>
                <w:szCs w:val="28"/>
              </w:rPr>
              <w:t>（元)</w:t>
            </w:r>
          </w:p>
          <w:p>
            <w:pPr>
              <w:jc w:val="center"/>
              <w:rPr>
                <w:rFonts w:ascii="仿宋_GB2312" w:hAnsi="仿宋" w:eastAsia="仿宋_GB2312"/>
                <w:sz w:val="28"/>
                <w:szCs w:val="28"/>
              </w:rPr>
            </w:pPr>
            <w:r>
              <w:rPr>
                <w:rFonts w:hint="eastAsia" w:ascii="仿宋_GB2312" w:hAnsi="仿宋" w:eastAsia="仿宋_GB2312"/>
                <w:sz w:val="28"/>
                <w:szCs w:val="28"/>
              </w:rPr>
              <w:t>②</w:t>
            </w:r>
          </w:p>
        </w:tc>
        <w:tc>
          <w:tcPr>
            <w:tcW w:w="1701" w:type="dxa"/>
            <w:vAlign w:val="center"/>
          </w:tcPr>
          <w:p>
            <w:pPr>
              <w:jc w:val="center"/>
              <w:rPr>
                <w:rFonts w:ascii="仿宋_GB2312" w:hAnsi="仿宋" w:eastAsia="仿宋_GB2312"/>
                <w:sz w:val="28"/>
                <w:szCs w:val="28"/>
              </w:rPr>
            </w:pPr>
            <w:r>
              <w:rPr>
                <w:rFonts w:hint="eastAsia" w:ascii="仿宋_GB2312" w:hAnsi="仿宋" w:eastAsia="仿宋_GB2312"/>
                <w:sz w:val="28"/>
                <w:szCs w:val="28"/>
              </w:rPr>
              <w:t>单项合价</w:t>
            </w:r>
          </w:p>
          <w:p>
            <w:pPr>
              <w:jc w:val="center"/>
              <w:rPr>
                <w:rFonts w:ascii="仿宋_GB2312" w:hAnsi="仿宋" w:eastAsia="仿宋_GB2312"/>
                <w:sz w:val="28"/>
                <w:szCs w:val="28"/>
              </w:rPr>
            </w:pPr>
            <w:r>
              <w:rPr>
                <w:rFonts w:hint="eastAsia" w:ascii="仿宋_GB2312" w:hAnsi="仿宋" w:eastAsia="仿宋_GB2312"/>
                <w:sz w:val="28"/>
                <w:szCs w:val="28"/>
              </w:rPr>
              <w:t>（元）</w:t>
            </w:r>
          </w:p>
          <w:p>
            <w:pPr>
              <w:jc w:val="center"/>
              <w:rPr>
                <w:rFonts w:ascii="仿宋_GB2312" w:hAnsi="仿宋" w:eastAsia="仿宋_GB2312"/>
                <w:sz w:val="28"/>
                <w:szCs w:val="28"/>
              </w:rPr>
            </w:pPr>
            <w:r>
              <w:rPr>
                <w:rFonts w:hint="eastAsia" w:ascii="仿宋_GB2312" w:hAnsi="仿宋" w:eastAsia="仿宋_GB2312"/>
                <w:sz w:val="28"/>
                <w:szCs w:val="28"/>
              </w:rPr>
              <w:t>③=①×②</w:t>
            </w:r>
          </w:p>
        </w:tc>
        <w:tc>
          <w:tcPr>
            <w:tcW w:w="2047" w:type="dxa"/>
            <w:vAlign w:val="center"/>
          </w:tcPr>
          <w:p>
            <w:pPr>
              <w:jc w:val="center"/>
              <w:rPr>
                <w:rFonts w:ascii="仿宋_GB2312" w:hAnsi="仿宋" w:eastAsia="仿宋_GB2312"/>
                <w:sz w:val="28"/>
                <w:szCs w:val="28"/>
              </w:rPr>
            </w:pPr>
            <w:r>
              <w:rPr>
                <w:rFonts w:hint="eastAsia" w:ascii="仿宋_GB2312" w:hAnsi="仿宋"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1</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2</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3</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vAlign w:val="center"/>
          </w:tcPr>
          <w:p>
            <w:pPr>
              <w:jc w:val="center"/>
              <w:rPr>
                <w:rFonts w:ascii="仿宋_GB2312" w:hAnsi="仿宋" w:eastAsia="仿宋_GB2312"/>
                <w:sz w:val="28"/>
                <w:szCs w:val="28"/>
              </w:rPr>
            </w:pPr>
            <w:r>
              <w:rPr>
                <w:rFonts w:hint="eastAsia" w:ascii="仿宋_GB2312" w:hAnsi="仿宋" w:eastAsia="仿宋_GB2312"/>
                <w:sz w:val="28"/>
                <w:szCs w:val="28"/>
              </w:rPr>
              <w:t>N</w:t>
            </w:r>
          </w:p>
        </w:tc>
        <w:tc>
          <w:tcPr>
            <w:tcW w:w="2936" w:type="dxa"/>
            <w:vAlign w:val="center"/>
          </w:tcPr>
          <w:p>
            <w:pPr>
              <w:jc w:val="center"/>
              <w:rPr>
                <w:rFonts w:ascii="仿宋_GB2312" w:hAnsi="仿宋" w:eastAsia="仿宋_GB2312"/>
                <w:sz w:val="28"/>
                <w:szCs w:val="28"/>
              </w:rPr>
            </w:pPr>
          </w:p>
        </w:tc>
        <w:tc>
          <w:tcPr>
            <w:tcW w:w="1134" w:type="dxa"/>
            <w:vAlign w:val="center"/>
          </w:tcPr>
          <w:p>
            <w:pPr>
              <w:rPr>
                <w:rFonts w:ascii="仿宋_GB2312" w:hAnsi="仿宋" w:eastAsia="仿宋_GB2312"/>
                <w:sz w:val="28"/>
                <w:szCs w:val="28"/>
              </w:rPr>
            </w:pPr>
          </w:p>
        </w:tc>
        <w:tc>
          <w:tcPr>
            <w:tcW w:w="1276" w:type="dxa"/>
            <w:vAlign w:val="center"/>
          </w:tcPr>
          <w:p>
            <w:pPr>
              <w:rPr>
                <w:rFonts w:ascii="仿宋_GB2312" w:hAnsi="仿宋" w:eastAsia="仿宋_GB2312"/>
                <w:sz w:val="28"/>
                <w:szCs w:val="28"/>
              </w:rPr>
            </w:pPr>
          </w:p>
        </w:tc>
        <w:tc>
          <w:tcPr>
            <w:tcW w:w="1701" w:type="dxa"/>
            <w:vAlign w:val="center"/>
          </w:tcPr>
          <w:p>
            <w:pPr>
              <w:rPr>
                <w:rFonts w:ascii="仿宋_GB2312" w:hAnsi="仿宋" w:eastAsia="仿宋_GB2312"/>
                <w:sz w:val="28"/>
                <w:szCs w:val="28"/>
              </w:rPr>
            </w:pPr>
          </w:p>
        </w:tc>
        <w:tc>
          <w:tcPr>
            <w:tcW w:w="2047" w:type="dxa"/>
            <w:vAlign w:val="center"/>
          </w:tcPr>
          <w:p>
            <w:pPr>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vAlign w:val="center"/>
          </w:tcPr>
          <w:p>
            <w:pPr>
              <w:rPr>
                <w:rFonts w:ascii="仿宋_GB2312" w:hAnsi="仿宋" w:eastAsia="仿宋_GB2312"/>
                <w:sz w:val="28"/>
                <w:szCs w:val="28"/>
              </w:rPr>
            </w:pPr>
            <w:r>
              <w:rPr>
                <w:rFonts w:hint="eastAsia" w:ascii="仿宋_GB2312" w:hAnsi="仿宋" w:eastAsia="仿宋_GB2312"/>
                <w:sz w:val="28"/>
                <w:szCs w:val="28"/>
              </w:rPr>
              <w:t>总报价（人民币大写）：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vAlign w:val="center"/>
          </w:tcPr>
          <w:p>
            <w:pPr>
              <w:rPr>
                <w:rFonts w:ascii="仿宋_GB2312" w:hAnsi="仿宋" w:eastAsia="仿宋_GB2312"/>
                <w:sz w:val="28"/>
                <w:szCs w:val="28"/>
              </w:rPr>
            </w:pPr>
            <w:r>
              <w:rPr>
                <w:rFonts w:hint="eastAsia" w:ascii="仿宋_GB2312" w:hAnsi="仿宋" w:eastAsia="仿宋_GB2312"/>
                <w:sz w:val="28"/>
                <w:szCs w:val="28"/>
              </w:rPr>
              <w:t xml:space="preserve">服务完成时间： </w:t>
            </w:r>
          </w:p>
        </w:tc>
      </w:tr>
    </w:tbl>
    <w:p>
      <w:pPr>
        <w:rPr>
          <w:rFonts w:ascii="仿宋_GB2312" w:hAnsi="仿宋" w:eastAsia="仿宋_GB2312"/>
          <w:sz w:val="28"/>
          <w:szCs w:val="28"/>
        </w:rPr>
      </w:pPr>
    </w:p>
    <w:p>
      <w:pPr>
        <w:spacing w:line="520" w:lineRule="exact"/>
        <w:rPr>
          <w:rFonts w:ascii="仿宋_GB2312" w:hAnsi="仿宋" w:eastAsia="仿宋_GB2312"/>
          <w:sz w:val="28"/>
          <w:szCs w:val="28"/>
          <w:u w:val="single"/>
        </w:rPr>
      </w:pPr>
      <w:r>
        <w:rPr>
          <w:rFonts w:hint="eastAsia" w:ascii="仿宋_GB2312" w:hAnsi="仿宋" w:eastAsia="仿宋_GB2312"/>
          <w:sz w:val="28"/>
          <w:szCs w:val="28"/>
        </w:rPr>
        <w:t>法定代表人或法定代表人授权代表签字：</w:t>
      </w:r>
    </w:p>
    <w:p>
      <w:pPr>
        <w:rPr>
          <w:rFonts w:ascii="仿宋_GB2312" w:hAnsi="仿宋" w:eastAsia="仿宋_GB2312"/>
          <w:sz w:val="28"/>
          <w:szCs w:val="28"/>
          <w:u w:val="single"/>
        </w:rPr>
      </w:pPr>
      <w:r>
        <w:rPr>
          <w:rFonts w:hint="eastAsia" w:ascii="仿宋_GB2312" w:hAnsi="仿宋" w:eastAsia="仿宋_GB2312"/>
          <w:sz w:val="28"/>
          <w:szCs w:val="28"/>
        </w:rPr>
        <w:t>供应商名称（盖章）：</w:t>
      </w:r>
    </w:p>
    <w:p>
      <w:pPr>
        <w:spacing w:line="400" w:lineRule="exact"/>
        <w:rPr>
          <w:rFonts w:ascii="仿宋_GB2312" w:hAnsi="宋体" w:eastAsia="仿宋_GB2312"/>
          <w:szCs w:val="21"/>
        </w:rPr>
      </w:pPr>
      <w:r>
        <w:rPr>
          <w:rFonts w:hint="eastAsia" w:ascii="仿宋_GB2312" w:hAnsi="仿宋" w:eastAsia="仿宋_GB2312"/>
          <w:sz w:val="28"/>
          <w:szCs w:val="28"/>
        </w:rPr>
        <w:t>日   期：</w:t>
      </w:r>
    </w:p>
    <w:p>
      <w:pPr>
        <w:spacing w:beforeLines="50" w:afterLines="50" w:line="560" w:lineRule="exact"/>
        <w:jc w:val="center"/>
        <w:rPr>
          <w:rFonts w:ascii="仿宋_GB2312" w:hAnsi="宋体" w:eastAsia="仿宋_GB2312"/>
          <w:b/>
          <w:sz w:val="44"/>
          <w:szCs w:val="44"/>
        </w:rPr>
      </w:pPr>
      <w:r>
        <w:rPr>
          <w:rFonts w:ascii="仿宋_GB2312" w:hAnsi="宋体" w:eastAsia="仿宋_GB2312"/>
          <w:b/>
          <w:sz w:val="44"/>
          <w:szCs w:val="44"/>
        </w:rPr>
        <w:br w:type="page"/>
      </w:r>
      <w:r>
        <w:rPr>
          <w:rFonts w:hint="eastAsia" w:ascii="仿宋_GB2312" w:hAnsi="宋体" w:eastAsia="仿宋_GB2312"/>
          <w:b/>
          <w:sz w:val="44"/>
          <w:szCs w:val="44"/>
        </w:rPr>
        <w:t>三、技术响应、偏离情况说明表</w:t>
      </w:r>
    </w:p>
    <w:p>
      <w:pPr>
        <w:spacing w:line="300" w:lineRule="auto"/>
        <w:rPr>
          <w:rFonts w:ascii="仿宋_GB2312" w:hAnsi="宋体" w:eastAsia="仿宋_GB2312"/>
          <w:sz w:val="24"/>
          <w:szCs w:val="24"/>
        </w:rPr>
      </w:pPr>
    </w:p>
    <w:p>
      <w:pPr>
        <w:spacing w:line="500" w:lineRule="exact"/>
        <w:rPr>
          <w:rFonts w:ascii="仿宋_GB2312" w:hAnsi="宋体" w:eastAsia="仿宋_GB2312"/>
          <w:sz w:val="28"/>
          <w:szCs w:val="28"/>
        </w:rPr>
      </w:pPr>
      <w:r>
        <w:rPr>
          <w:rFonts w:hint="eastAsia" w:ascii="仿宋_GB2312" w:hAnsi="宋体" w:eastAsia="仿宋_GB2312"/>
          <w:sz w:val="28"/>
          <w:szCs w:val="28"/>
        </w:rPr>
        <w:t>采购项目名称:</w:t>
      </w:r>
    </w:p>
    <w:tbl>
      <w:tblPr>
        <w:tblStyle w:val="8"/>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2164"/>
        <w:gridCol w:w="2371"/>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序号</w:t>
            </w:r>
          </w:p>
        </w:tc>
        <w:tc>
          <w:tcPr>
            <w:tcW w:w="1410"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服务名称</w:t>
            </w:r>
          </w:p>
        </w:tc>
        <w:tc>
          <w:tcPr>
            <w:tcW w:w="2164"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响应文件要求</w:t>
            </w:r>
          </w:p>
        </w:tc>
        <w:tc>
          <w:tcPr>
            <w:tcW w:w="2371"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响应文件具体响应</w:t>
            </w:r>
          </w:p>
        </w:tc>
        <w:tc>
          <w:tcPr>
            <w:tcW w:w="1569"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响应/偏离</w:t>
            </w:r>
          </w:p>
        </w:tc>
        <w:tc>
          <w:tcPr>
            <w:tcW w:w="817"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1</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2</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3</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vAlign w:val="center"/>
          </w:tcPr>
          <w:p>
            <w:pPr>
              <w:adjustRightInd w:val="0"/>
              <w:snapToGrid w:val="0"/>
              <w:spacing w:line="300" w:lineRule="auto"/>
              <w:jc w:val="center"/>
              <w:rPr>
                <w:rFonts w:ascii="仿宋_GB2312" w:hAnsi="宋体" w:eastAsia="仿宋_GB2312"/>
                <w:sz w:val="28"/>
                <w:szCs w:val="28"/>
              </w:rPr>
            </w:pPr>
            <w:r>
              <w:rPr>
                <w:rFonts w:hint="eastAsia" w:ascii="仿宋_GB2312" w:hAnsi="宋体" w:eastAsia="仿宋_GB2312"/>
                <w:sz w:val="28"/>
                <w:szCs w:val="28"/>
              </w:rPr>
              <w:t>…</w:t>
            </w:r>
          </w:p>
        </w:tc>
        <w:tc>
          <w:tcPr>
            <w:tcW w:w="1410" w:type="dxa"/>
            <w:vAlign w:val="center"/>
          </w:tcPr>
          <w:p>
            <w:pPr>
              <w:adjustRightInd w:val="0"/>
              <w:snapToGrid w:val="0"/>
              <w:spacing w:line="300" w:lineRule="auto"/>
              <w:jc w:val="center"/>
              <w:rPr>
                <w:rFonts w:ascii="仿宋_GB2312" w:hAnsi="宋体" w:eastAsia="仿宋_GB2312"/>
                <w:sz w:val="28"/>
                <w:szCs w:val="28"/>
              </w:rPr>
            </w:pPr>
          </w:p>
        </w:tc>
        <w:tc>
          <w:tcPr>
            <w:tcW w:w="2164" w:type="dxa"/>
            <w:vAlign w:val="center"/>
          </w:tcPr>
          <w:p>
            <w:pPr>
              <w:adjustRightInd w:val="0"/>
              <w:snapToGrid w:val="0"/>
              <w:spacing w:line="300" w:lineRule="auto"/>
              <w:jc w:val="center"/>
              <w:rPr>
                <w:rFonts w:ascii="仿宋_GB2312" w:hAnsi="宋体" w:eastAsia="仿宋_GB2312"/>
                <w:sz w:val="28"/>
                <w:szCs w:val="28"/>
              </w:rPr>
            </w:pPr>
          </w:p>
        </w:tc>
        <w:tc>
          <w:tcPr>
            <w:tcW w:w="2371" w:type="dxa"/>
            <w:vAlign w:val="center"/>
          </w:tcPr>
          <w:p>
            <w:pPr>
              <w:adjustRightInd w:val="0"/>
              <w:snapToGrid w:val="0"/>
              <w:spacing w:line="300" w:lineRule="auto"/>
              <w:jc w:val="center"/>
              <w:rPr>
                <w:rFonts w:ascii="仿宋_GB2312" w:hAnsi="宋体" w:eastAsia="仿宋_GB2312"/>
                <w:sz w:val="28"/>
                <w:szCs w:val="28"/>
              </w:rPr>
            </w:pPr>
          </w:p>
        </w:tc>
        <w:tc>
          <w:tcPr>
            <w:tcW w:w="1569" w:type="dxa"/>
            <w:vAlign w:val="center"/>
          </w:tcPr>
          <w:p>
            <w:pPr>
              <w:adjustRightInd w:val="0"/>
              <w:snapToGrid w:val="0"/>
              <w:spacing w:line="300" w:lineRule="auto"/>
              <w:jc w:val="center"/>
              <w:rPr>
                <w:rFonts w:ascii="仿宋_GB2312" w:hAnsi="宋体" w:eastAsia="仿宋_GB2312"/>
                <w:sz w:val="28"/>
                <w:szCs w:val="28"/>
              </w:rPr>
            </w:pPr>
          </w:p>
        </w:tc>
        <w:tc>
          <w:tcPr>
            <w:tcW w:w="817" w:type="dxa"/>
            <w:vAlign w:val="center"/>
          </w:tcPr>
          <w:p>
            <w:pPr>
              <w:adjustRightInd w:val="0"/>
              <w:snapToGrid w:val="0"/>
              <w:spacing w:line="300" w:lineRule="auto"/>
              <w:jc w:val="center"/>
              <w:rPr>
                <w:rFonts w:ascii="仿宋_GB2312" w:hAnsi="宋体" w:eastAsia="仿宋_GB2312"/>
                <w:sz w:val="28"/>
                <w:szCs w:val="28"/>
              </w:rPr>
            </w:pPr>
          </w:p>
        </w:tc>
      </w:tr>
    </w:tbl>
    <w:p>
      <w:pPr>
        <w:adjustRightInd w:val="0"/>
        <w:snapToGrid w:val="0"/>
        <w:spacing w:line="300" w:lineRule="auto"/>
        <w:rPr>
          <w:rFonts w:ascii="仿宋_GB2312" w:hAnsi="宋体" w:eastAsia="仿宋_GB2312"/>
          <w:sz w:val="28"/>
          <w:szCs w:val="28"/>
        </w:rPr>
      </w:pPr>
    </w:p>
    <w:p>
      <w:pPr>
        <w:spacing w:line="520" w:lineRule="exact"/>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一、项目要求及技术要求</w:t>
      </w:r>
      <w:r>
        <w:rPr>
          <w:rFonts w:hint="eastAsia" w:ascii="仿宋_GB2312" w:hAnsi="仿宋" w:eastAsia="仿宋_GB2312"/>
          <w:sz w:val="28"/>
          <w:szCs w:val="28"/>
        </w:rPr>
        <w:t>”逐条说明所提供服务已对技术规格要求做出了实质性的响应，并申明与技术规格条文的响应和偏离。特别对有具体参数要求的指标，供应商必须提供具体参数值。</w:t>
      </w:r>
    </w:p>
    <w:p>
      <w:pPr>
        <w:spacing w:line="300" w:lineRule="auto"/>
        <w:rPr>
          <w:rFonts w:ascii="仿宋_GB2312" w:hAnsi="宋体" w:eastAsia="仿宋_GB2312"/>
          <w:sz w:val="28"/>
          <w:szCs w:val="28"/>
        </w:rPr>
      </w:pPr>
    </w:p>
    <w:p>
      <w:pPr>
        <w:spacing w:line="520" w:lineRule="exact"/>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spacing w:line="300" w:lineRule="auto"/>
        <w:rPr>
          <w:rFonts w:ascii="仿宋_GB2312" w:hAnsi="宋体" w:eastAsia="仿宋_GB2312"/>
          <w:sz w:val="28"/>
          <w:szCs w:val="28"/>
          <w:u w:val="single"/>
        </w:rPr>
      </w:pPr>
      <w:r>
        <w:rPr>
          <w:rFonts w:hint="eastAsia" w:ascii="仿宋_GB2312" w:hAnsi="宋体" w:eastAsia="仿宋_GB2312"/>
          <w:sz w:val="28"/>
          <w:szCs w:val="28"/>
        </w:rPr>
        <w:t>日   期：</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beforeLines="50" w:afterLines="50" w:line="560" w:lineRule="exact"/>
        <w:jc w:val="center"/>
        <w:rPr>
          <w:rFonts w:ascii="仿宋_GB2312" w:hAnsi="宋体" w:eastAsia="仿宋_GB2312"/>
          <w:sz w:val="24"/>
          <w:szCs w:val="24"/>
        </w:rPr>
      </w:pPr>
      <w:r>
        <w:rPr>
          <w:rFonts w:ascii="仿宋_GB2312" w:hAnsi="宋体" w:eastAsia="仿宋_GB2312"/>
          <w:sz w:val="24"/>
          <w:szCs w:val="24"/>
        </w:rPr>
        <w:br w:type="page"/>
      </w:r>
      <w:r>
        <w:rPr>
          <w:rFonts w:hint="eastAsia" w:ascii="仿宋_GB2312" w:hAnsi="宋体" w:eastAsia="仿宋_GB2312"/>
          <w:b/>
          <w:sz w:val="44"/>
          <w:szCs w:val="44"/>
        </w:rPr>
        <w:t>四、商务响应表</w:t>
      </w:r>
    </w:p>
    <w:p>
      <w:pPr>
        <w:spacing w:line="300" w:lineRule="auto"/>
        <w:rPr>
          <w:rFonts w:ascii="仿宋_GB2312" w:hAnsi="宋体" w:eastAsia="仿宋_GB2312"/>
          <w:b/>
          <w:sz w:val="24"/>
          <w:szCs w:val="24"/>
        </w:rPr>
      </w:pPr>
    </w:p>
    <w:p>
      <w:pPr>
        <w:spacing w:line="500" w:lineRule="exact"/>
        <w:rPr>
          <w:rFonts w:ascii="仿宋_GB2312" w:hAnsi="宋体" w:eastAsia="仿宋_GB2312"/>
          <w:sz w:val="28"/>
          <w:szCs w:val="28"/>
        </w:rPr>
      </w:pPr>
      <w:r>
        <w:rPr>
          <w:rFonts w:hint="eastAsia" w:ascii="仿宋_GB2312" w:hAnsi="宋体" w:eastAsia="仿宋_GB2312"/>
          <w:sz w:val="28"/>
          <w:szCs w:val="28"/>
        </w:rPr>
        <w:t>采购项目名称:</w:t>
      </w:r>
    </w:p>
    <w:tbl>
      <w:tblPr>
        <w:tblStyle w:val="8"/>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440"/>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snapToGrid w:val="0"/>
              <w:spacing w:beforeLines="50"/>
              <w:rPr>
                <w:rFonts w:ascii="仿宋_GB2312" w:hAnsi="宋体" w:eastAsia="仿宋_GB2312"/>
                <w:sz w:val="28"/>
                <w:szCs w:val="28"/>
              </w:rPr>
            </w:pPr>
            <w:r>
              <w:rPr>
                <w:rFonts w:hint="eastAsia" w:ascii="仿宋_GB2312" w:hAnsi="宋体" w:eastAsia="仿宋_GB2312"/>
                <w:sz w:val="28"/>
                <w:szCs w:val="28"/>
              </w:rPr>
              <w:t>项目</w:t>
            </w:r>
          </w:p>
        </w:tc>
        <w:tc>
          <w:tcPr>
            <w:tcW w:w="2700" w:type="dxa"/>
            <w:tcBorders>
              <w:top w:val="single" w:color="auto" w:sz="4" w:space="0"/>
              <w:left w:val="single" w:color="auto" w:sz="4" w:space="0"/>
              <w:bottom w:val="single" w:color="auto" w:sz="4" w:space="0"/>
              <w:right w:val="single" w:color="auto" w:sz="4" w:space="0"/>
            </w:tcBorders>
          </w:tcPr>
          <w:p>
            <w:pPr>
              <w:pBdr>
                <w:bottom w:val="none" w:color="auto" w:sz="0" w:space="0"/>
              </w:pBdr>
              <w:snapToGrid w:val="0"/>
              <w:spacing w:beforeLines="50" w:line="240" w:lineRule="auto"/>
              <w:jc w:val="both"/>
              <w:rPr>
                <w:rFonts w:ascii="仿宋_GB2312" w:hAnsi="宋体" w:eastAsia="仿宋_GB2312"/>
                <w:sz w:val="28"/>
                <w:szCs w:val="28"/>
              </w:rPr>
            </w:pPr>
            <w:r>
              <w:rPr>
                <w:rFonts w:hint="eastAsia" w:ascii="仿宋_GB2312" w:hAnsi="宋体" w:eastAsia="仿宋_GB2312"/>
                <w:sz w:val="28"/>
                <w:szCs w:val="28"/>
              </w:rPr>
              <w:t>采购文件要求</w:t>
            </w:r>
          </w:p>
        </w:tc>
        <w:tc>
          <w:tcPr>
            <w:tcW w:w="1440" w:type="dxa"/>
            <w:tcBorders>
              <w:top w:val="single" w:color="auto" w:sz="4" w:space="0"/>
              <w:left w:val="single" w:color="auto" w:sz="4" w:space="0"/>
              <w:bottom w:val="single" w:color="auto" w:sz="4" w:space="0"/>
              <w:right w:val="single" w:color="auto" w:sz="4" w:space="0"/>
            </w:tcBorders>
          </w:tcPr>
          <w:p>
            <w:pPr>
              <w:pBdr>
                <w:bottom w:val="none" w:color="auto" w:sz="0" w:space="0"/>
              </w:pBdr>
              <w:snapToGrid w:val="0"/>
              <w:spacing w:beforeLines="50" w:line="240" w:lineRule="auto"/>
              <w:jc w:val="both"/>
              <w:rPr>
                <w:rFonts w:ascii="仿宋_GB2312" w:hAnsi="宋体" w:eastAsia="仿宋_GB2312"/>
                <w:sz w:val="28"/>
                <w:szCs w:val="28"/>
              </w:rPr>
            </w:pPr>
            <w:r>
              <w:rPr>
                <w:rFonts w:hint="eastAsia" w:ascii="仿宋_GB2312" w:hAnsi="宋体" w:eastAsia="仿宋_GB2312"/>
                <w:sz w:val="28"/>
                <w:szCs w:val="28"/>
              </w:rPr>
              <w:t>是否响应</w:t>
            </w:r>
          </w:p>
        </w:tc>
        <w:tc>
          <w:tcPr>
            <w:tcW w:w="2840" w:type="dxa"/>
            <w:tcBorders>
              <w:top w:val="single" w:color="auto" w:sz="4" w:space="0"/>
              <w:left w:val="single" w:color="auto" w:sz="4" w:space="0"/>
              <w:bottom w:val="single" w:color="auto" w:sz="4" w:space="0"/>
              <w:right w:val="single" w:color="auto" w:sz="4" w:space="0"/>
            </w:tcBorders>
          </w:tcPr>
          <w:p>
            <w:pPr>
              <w:pBdr>
                <w:bottom w:val="none" w:color="auto" w:sz="0" w:space="0"/>
              </w:pBdr>
              <w:snapToGrid w:val="0"/>
              <w:spacing w:beforeLines="50" w:line="240" w:lineRule="auto"/>
              <w:jc w:val="both"/>
              <w:rPr>
                <w:rFonts w:ascii="仿宋_GB2312" w:hAnsi="宋体" w:eastAsia="仿宋_GB2312"/>
                <w:sz w:val="28"/>
                <w:szCs w:val="28"/>
              </w:rPr>
            </w:pPr>
            <w:r>
              <w:rPr>
                <w:rFonts w:hint="eastAsia" w:ascii="仿宋_GB2312" w:hAnsi="宋体" w:eastAsia="仿宋_GB2312"/>
                <w:sz w:val="28"/>
                <w:szCs w:val="28"/>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9"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ind w:left="43"/>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ind w:left="43"/>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cs="宋体"/>
                <w:kern w:val="0"/>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_GB2312" w:hAnsi="宋体"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c>
          <w:tcPr>
            <w:tcW w:w="2840" w:type="dxa"/>
            <w:tcBorders>
              <w:top w:val="single" w:color="auto" w:sz="4" w:space="0"/>
              <w:left w:val="single" w:color="auto" w:sz="4" w:space="0"/>
              <w:bottom w:val="single" w:color="auto" w:sz="4" w:space="0"/>
              <w:right w:val="single" w:color="auto" w:sz="4" w:space="0"/>
            </w:tcBorders>
          </w:tcPr>
          <w:p>
            <w:pPr>
              <w:keepNext w:val="0"/>
              <w:keepLines w:val="0"/>
              <w:snapToGrid w:val="0"/>
              <w:spacing w:beforeLines="50" w:after="0" w:line="240" w:lineRule="auto"/>
              <w:rPr>
                <w:rFonts w:ascii="仿宋_GB2312" w:hAnsi="宋体" w:eastAsia="仿宋_GB2312"/>
                <w:b/>
                <w:bCs/>
                <w:sz w:val="28"/>
                <w:szCs w:val="28"/>
              </w:rPr>
            </w:pPr>
          </w:p>
        </w:tc>
      </w:tr>
    </w:tbl>
    <w:p>
      <w:pPr>
        <w:spacing w:line="520" w:lineRule="exact"/>
        <w:rPr>
          <w:rFonts w:ascii="仿宋_GB2312" w:hAnsi="仿宋" w:eastAsia="仿宋_GB2312"/>
          <w:sz w:val="28"/>
          <w:szCs w:val="28"/>
        </w:rPr>
      </w:pPr>
      <w:r>
        <w:rPr>
          <w:rFonts w:hint="eastAsia" w:ascii="仿宋_GB2312" w:hAnsi="仿宋" w:eastAsia="仿宋_GB2312"/>
          <w:sz w:val="28"/>
          <w:szCs w:val="28"/>
        </w:rPr>
        <w:t>说明：应对照文件“第三章 采购项目技术规范及要求”中“</w:t>
      </w:r>
      <w:r>
        <w:rPr>
          <w:rFonts w:hint="eastAsia" w:ascii="仿宋_GB2312" w:hAnsi="仿宋" w:eastAsia="仿宋_GB2312"/>
          <w:b/>
          <w:sz w:val="28"/>
          <w:szCs w:val="28"/>
        </w:rPr>
        <w:t>二、商务要求表</w:t>
      </w:r>
      <w:r>
        <w:rPr>
          <w:rFonts w:hint="eastAsia" w:ascii="仿宋_GB2312" w:hAnsi="仿宋" w:eastAsia="仿宋_GB2312"/>
          <w:sz w:val="28"/>
          <w:szCs w:val="28"/>
        </w:rPr>
        <w:t>”逐条说明所提供服务已对商务要求做出了实质性的响应，并申明与商务要求的响应和偏离。</w:t>
      </w:r>
    </w:p>
    <w:p>
      <w:pPr>
        <w:spacing w:line="300" w:lineRule="auto"/>
        <w:rPr>
          <w:rFonts w:ascii="仿宋_GB2312" w:hAnsi="宋体" w:eastAsia="仿宋_GB2312"/>
          <w:b/>
          <w:sz w:val="28"/>
          <w:szCs w:val="28"/>
        </w:rPr>
      </w:pPr>
    </w:p>
    <w:p>
      <w:pPr>
        <w:spacing w:line="520" w:lineRule="exact"/>
        <w:rPr>
          <w:rFonts w:ascii="仿宋_GB2312" w:hAnsi="宋体" w:eastAsia="仿宋_GB2312"/>
          <w:sz w:val="28"/>
          <w:szCs w:val="28"/>
          <w:u w:val="single"/>
        </w:rPr>
      </w:pPr>
      <w:r>
        <w:rPr>
          <w:rFonts w:hint="eastAsia" w:ascii="仿宋_GB2312" w:hAnsi="宋体" w:eastAsia="仿宋_GB2312"/>
          <w:sz w:val="28"/>
          <w:szCs w:val="28"/>
        </w:rPr>
        <w:t>法定代表人或法定代表人授权代表签字：</w:t>
      </w:r>
    </w:p>
    <w:p>
      <w:pPr>
        <w:rPr>
          <w:rFonts w:ascii="仿宋_GB2312" w:hAnsi="Courier New" w:eastAsia="仿宋_GB2312"/>
          <w:sz w:val="28"/>
          <w:szCs w:val="28"/>
          <w:u w:val="single"/>
        </w:rPr>
      </w:pPr>
      <w:r>
        <w:rPr>
          <w:rFonts w:hint="eastAsia" w:ascii="仿宋_GB2312" w:hAnsi="宋体" w:eastAsia="仿宋_GB2312"/>
          <w:sz w:val="28"/>
          <w:szCs w:val="28"/>
        </w:rPr>
        <w:t>磋商供应商名称（盖章）：</w:t>
      </w:r>
    </w:p>
    <w:p>
      <w:pPr>
        <w:spacing w:beforeLines="50" w:afterLines="50" w:line="560" w:lineRule="exact"/>
        <w:jc w:val="center"/>
        <w:rPr>
          <w:rFonts w:ascii="仿宋_GB2312" w:hAnsi="宋体" w:eastAsia="仿宋_GB2312"/>
          <w:b/>
          <w:sz w:val="28"/>
          <w:szCs w:val="28"/>
        </w:rPr>
      </w:pPr>
      <w:r>
        <w:rPr>
          <w:rFonts w:hint="eastAsia" w:ascii="仿宋_GB2312" w:hAnsi="宋体" w:eastAsia="仿宋_GB2312"/>
          <w:sz w:val="28"/>
          <w:szCs w:val="28"/>
        </w:rPr>
        <w:t>日   期：</w:t>
      </w:r>
    </w:p>
    <w:p>
      <w:pPr>
        <w:spacing w:beforeLines="50" w:afterLines="50" w:line="560" w:lineRule="exact"/>
        <w:jc w:val="center"/>
        <w:rPr>
          <w:rFonts w:ascii="仿宋_GB2312" w:hAnsi="宋体" w:eastAsia="仿宋_GB2312"/>
          <w:b/>
          <w:sz w:val="32"/>
          <w:szCs w:val="32"/>
        </w:rPr>
      </w:pPr>
      <w:r>
        <w:rPr>
          <w:rFonts w:ascii="仿宋_GB2312" w:hAnsi="宋体" w:eastAsia="仿宋_GB2312"/>
          <w:b/>
          <w:sz w:val="44"/>
          <w:szCs w:val="44"/>
        </w:rPr>
        <w:br w:type="page"/>
      </w:r>
      <w:r>
        <w:rPr>
          <w:rFonts w:hint="eastAsia" w:ascii="仿宋_GB2312" w:hAnsi="宋体" w:eastAsia="仿宋_GB2312"/>
          <w:b/>
          <w:sz w:val="44"/>
          <w:szCs w:val="44"/>
        </w:rPr>
        <w:t>五、法定代表人授权书</w:t>
      </w:r>
    </w:p>
    <w:p>
      <w:pPr>
        <w:adjustRightInd w:val="0"/>
        <w:snapToGrid w:val="0"/>
        <w:spacing w:line="520" w:lineRule="exact"/>
        <w:rPr>
          <w:rFonts w:ascii="仿宋_GB2312" w:hAnsi="宋体" w:eastAsia="仿宋_GB2312"/>
          <w:sz w:val="24"/>
          <w:szCs w:val="24"/>
        </w:rPr>
      </w:pPr>
    </w:p>
    <w:p>
      <w:pPr>
        <w:spacing w:line="360" w:lineRule="auto"/>
        <w:ind w:firstLine="420"/>
        <w:jc w:val="left"/>
        <w:rPr>
          <w:rFonts w:ascii="仿宋_GB2312" w:hAnsi="宋体" w:eastAsia="仿宋_GB2312"/>
          <w:sz w:val="28"/>
          <w:szCs w:val="28"/>
        </w:rPr>
      </w:pPr>
      <w:r>
        <w:rPr>
          <w:rFonts w:hint="eastAsia" w:ascii="仿宋_GB2312" w:hAnsi="宋体" w:eastAsia="仿宋_GB2312"/>
          <w:sz w:val="28"/>
          <w:szCs w:val="28"/>
        </w:rPr>
        <w:t>本授权委托书声明：兹授权</w:t>
      </w:r>
      <w:r>
        <w:rPr>
          <w:rFonts w:hint="eastAsia" w:ascii="仿宋_GB2312" w:hAnsi="宋体" w:eastAsia="仿宋_GB2312"/>
          <w:sz w:val="28"/>
          <w:szCs w:val="28"/>
          <w:u w:val="single"/>
        </w:rPr>
        <w:t>（姓名）(身份证号码：XXXXX)</w:t>
      </w:r>
      <w:r>
        <w:rPr>
          <w:rFonts w:hint="eastAsia" w:ascii="仿宋_GB2312" w:hAnsi="宋体" w:eastAsia="仿宋_GB2312"/>
          <w:sz w:val="28"/>
          <w:szCs w:val="28"/>
        </w:rPr>
        <w:t>为我公司参加贵单位组织的</w:t>
      </w:r>
      <w:r>
        <w:rPr>
          <w:rFonts w:hint="eastAsia" w:ascii="仿宋_GB2312" w:hAnsi="宋体" w:eastAsia="仿宋_GB2312"/>
          <w:sz w:val="28"/>
          <w:szCs w:val="28"/>
          <w:u w:val="single"/>
        </w:rPr>
        <w:t>（项    目    名   称）</w:t>
      </w:r>
      <w:r>
        <w:rPr>
          <w:rFonts w:hint="eastAsia" w:ascii="仿宋_GB2312" w:hAnsi="宋体" w:eastAsia="仿宋_GB2312"/>
          <w:sz w:val="28"/>
          <w:szCs w:val="28"/>
        </w:rPr>
        <w:t>采购活动的竞标代表人，全权代表我公司处理在该项目活动中的一切事宜。代理期限从年月日起至年月日止。</w:t>
      </w:r>
    </w:p>
    <w:p>
      <w:pPr>
        <w:spacing w:line="520" w:lineRule="exact"/>
        <w:rPr>
          <w:rFonts w:ascii="仿宋_GB2312" w:hAnsi="宋体" w:eastAsia="仿宋_GB2312"/>
          <w:sz w:val="28"/>
          <w:szCs w:val="28"/>
        </w:rPr>
      </w:pP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授权单位（签章）：</w:t>
      </w: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法定代表人（签字或盖章）：</w:t>
      </w:r>
    </w:p>
    <w:p>
      <w:pPr>
        <w:spacing w:line="520" w:lineRule="exact"/>
        <w:jc w:val="right"/>
        <w:rPr>
          <w:rFonts w:ascii="仿宋_GB2312" w:hAnsi="宋体" w:eastAsia="仿宋_GB2312"/>
          <w:sz w:val="28"/>
          <w:szCs w:val="28"/>
        </w:rPr>
      </w:pPr>
      <w:r>
        <w:rPr>
          <w:rFonts w:hint="eastAsia" w:ascii="仿宋_GB2312" w:hAnsi="宋体" w:eastAsia="仿宋_GB2312"/>
          <w:sz w:val="28"/>
          <w:szCs w:val="28"/>
        </w:rPr>
        <w:t>授权委托日期：年月日</w:t>
      </w:r>
    </w:p>
    <w:p>
      <w:pPr>
        <w:spacing w:line="520" w:lineRule="exact"/>
        <w:rPr>
          <w:rFonts w:ascii="仿宋_GB2312" w:hAnsi="宋体" w:eastAsia="仿宋_GB2312"/>
          <w:sz w:val="28"/>
          <w:szCs w:val="28"/>
        </w:rPr>
      </w:pPr>
    </w:p>
    <w:tbl>
      <w:tblPr>
        <w:tblStyle w:val="8"/>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Pr>
          <w:p>
            <w:pPr>
              <w:spacing w:line="300" w:lineRule="auto"/>
              <w:rPr>
                <w:rFonts w:ascii="仿宋_GB2312" w:hAnsi="宋体" w:eastAsia="仿宋_GB2312"/>
                <w:sz w:val="24"/>
                <w:szCs w:val="24"/>
              </w:rPr>
            </w:pPr>
            <w:r>
              <w:rPr>
                <w:rFonts w:hint="eastAsia" w:ascii="仿宋_GB2312" w:hAnsi="宋体" w:eastAsia="仿宋_GB2312"/>
                <w:sz w:val="24"/>
                <w:szCs w:val="24"/>
              </w:rPr>
              <w:t>法定代表人身份证（复印件）粘贴处：</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rPr>
            </w:pPr>
            <w:r>
              <w:rPr>
                <w:rFonts w:hint="eastAsia" w:ascii="仿宋_GB2312" w:hAnsi="宋体" w:eastAsia="仿宋_GB2312"/>
                <w:sz w:val="24"/>
                <w:szCs w:val="24"/>
              </w:rPr>
              <w:t>被授权人身份证（复印件）粘贴处：</w:t>
            </w:r>
          </w:p>
        </w:tc>
      </w:tr>
    </w:tbl>
    <w:p>
      <w:pPr>
        <w:spacing w:beforeLines="50" w:afterLines="50" w:line="560" w:lineRule="exact"/>
        <w:rPr>
          <w:rFonts w:ascii="仿宋_GB2312" w:hAnsi="宋体" w:eastAsia="仿宋_GB2312"/>
          <w:sz w:val="24"/>
          <w:szCs w:val="24"/>
        </w:rPr>
      </w:pPr>
    </w:p>
    <w:p>
      <w:pPr>
        <w:spacing w:beforeLines="50" w:afterLines="50" w:line="560" w:lineRule="exact"/>
        <w:jc w:val="center"/>
        <w:rPr>
          <w:rFonts w:ascii="仿宋_GB2312" w:hAnsi="宋体" w:eastAsia="仿宋_GB2312"/>
          <w:b/>
          <w:sz w:val="44"/>
          <w:szCs w:val="44"/>
        </w:rPr>
      </w:pPr>
      <w:r>
        <w:rPr>
          <w:rFonts w:ascii="仿宋_GB2312" w:hAnsi="宋体" w:eastAsia="仿宋_GB2312"/>
          <w:sz w:val="24"/>
          <w:szCs w:val="24"/>
        </w:rPr>
        <w:br w:type="page"/>
      </w:r>
      <w:r>
        <w:rPr>
          <w:rFonts w:hint="eastAsia" w:ascii="仿宋_GB2312" w:hAnsi="宋体" w:eastAsia="仿宋_GB2312"/>
          <w:b/>
          <w:sz w:val="44"/>
          <w:szCs w:val="44"/>
        </w:rPr>
        <w:t>六、相关证明资料</w:t>
      </w:r>
    </w:p>
    <w:p>
      <w:pPr>
        <w:spacing w:beforeLines="50" w:afterLines="50" w:line="560" w:lineRule="exact"/>
        <w:jc w:val="center"/>
        <w:rPr>
          <w:rFonts w:ascii="仿宋_GB2312" w:hAnsi="宋体" w:eastAsia="仿宋_GB2312"/>
          <w:b/>
          <w:sz w:val="44"/>
          <w:szCs w:val="44"/>
        </w:rPr>
      </w:pPr>
    </w:p>
    <w:p>
      <w:pPr>
        <w:spacing w:beforeLines="50" w:afterLines="50"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资质审查材料：</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1.企业法人营业执照（复印件）、组织机构代码证（复印件）；（三证合一的提供合一后的三证）</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2.近三年承担的类似项目业绩一览表（附相关业绩证明材料复印件）。</w:t>
      </w:r>
    </w:p>
    <w:p>
      <w:pPr>
        <w:spacing w:beforeLines="50" w:afterLines="50" w:line="560" w:lineRule="exact"/>
        <w:ind w:firstLine="643" w:firstLineChars="200"/>
        <w:jc w:val="left"/>
        <w:rPr>
          <w:rFonts w:ascii="仿宋_GB2312" w:hAnsi="宋体" w:eastAsia="仿宋_GB2312"/>
          <w:b/>
          <w:sz w:val="32"/>
          <w:szCs w:val="32"/>
        </w:rPr>
      </w:pPr>
      <w:r>
        <w:rPr>
          <w:rFonts w:hint="eastAsia" w:ascii="仿宋_GB2312" w:hAnsi="宋体" w:eastAsia="仿宋_GB2312"/>
          <w:b/>
          <w:sz w:val="32"/>
          <w:szCs w:val="32"/>
        </w:rPr>
        <w:t>其他证明材料：</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1.项目建议书、实施程序或方案；</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2.项目负责人及成员基本信息（含相关工作经历和业绩等情况）；</w:t>
      </w:r>
    </w:p>
    <w:p>
      <w:pPr>
        <w:spacing w:beforeLines="50" w:afterLines="50"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3.服务承诺及保障措施；</w:t>
      </w:r>
    </w:p>
    <w:p>
      <w:pPr>
        <w:spacing w:beforeLines="50" w:afterLines="5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 无不良行为承诺书；</w:t>
      </w:r>
    </w:p>
    <w:p>
      <w:pPr>
        <w:spacing w:beforeLines="50" w:afterLines="5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5. 采购文件要求的或投标人认为需要提交的其他资料。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E70CD"/>
    <w:rsid w:val="4470175C"/>
    <w:rsid w:val="4F1212B2"/>
    <w:rsid w:val="51964364"/>
    <w:rsid w:val="7E8A1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sz w:val="36"/>
      <w:szCs w:val="36"/>
    </w:rPr>
  </w:style>
  <w:style w:type="paragraph" w:styleId="4">
    <w:name w:val="Plain Text"/>
    <w:basedOn w:val="1"/>
    <w:qFormat/>
    <w:uiPriority w:val="0"/>
    <w:rPr>
      <w:rFonts w:ascii="宋体" w:hAnsi="Courier New"/>
      <w:szCs w:val="21"/>
    </w:rPr>
  </w:style>
  <w:style w:type="paragraph" w:styleId="5">
    <w:name w:val="footer"/>
    <w:basedOn w:val="1"/>
    <w:qFormat/>
    <w:uiPriority w:val="0"/>
    <w:pPr>
      <w:tabs>
        <w:tab w:val="center" w:pos="4153"/>
        <w:tab w:val="right" w:pos="8306"/>
      </w:tabs>
      <w:spacing w:line="240" w:lineRule="atLeast"/>
    </w:pPr>
    <w:rPr>
      <w:sz w:val="18"/>
    </w:rPr>
  </w:style>
  <w:style w:type="paragraph" w:styleId="6">
    <w:name w:val="header"/>
    <w:basedOn w:val="1"/>
    <w:qFormat/>
    <w:uiPriority w:val="99"/>
    <w:pPr>
      <w:pBdr>
        <w:bottom w:val="single" w:color="auto" w:sz="6" w:space="1"/>
      </w:pBdr>
      <w:tabs>
        <w:tab w:val="center" w:pos="4153"/>
        <w:tab w:val="right" w:pos="8306"/>
      </w:tabs>
      <w:spacing w:line="240" w:lineRule="atLeast"/>
      <w:jc w:val="center"/>
    </w:pPr>
    <w:rPr>
      <w:sz w:val="18"/>
    </w:rPr>
  </w:style>
  <w:style w:type="paragraph" w:styleId="7">
    <w:name w:val="toc 1"/>
    <w:basedOn w:val="1"/>
    <w:next w:val="1"/>
    <w:qFormat/>
    <w:uiPriority w:val="39"/>
  </w:style>
  <w:style w:type="character" w:styleId="10">
    <w:name w:val="page number"/>
    <w:qFormat/>
    <w:uiPriority w:val="0"/>
  </w:style>
  <w:style w:type="character" w:styleId="11">
    <w:name w:val="Hyperlink"/>
    <w:unhideWhenUsed/>
    <w:qFormat/>
    <w:uiPriority w:val="99"/>
    <w:rPr>
      <w:color w:val="0000FF"/>
      <w:u w:val="single"/>
    </w:rPr>
  </w:style>
  <w:style w:type="paragraph" w:customStyle="1" w:styleId="12">
    <w:name w:val="函 标题"/>
    <w:basedOn w:val="1"/>
    <w:qFormat/>
    <w:uiPriority w:val="0"/>
    <w:pPr>
      <w:tabs>
        <w:tab w:val="left" w:pos="7020"/>
      </w:tabs>
      <w:spacing w:line="60" w:lineRule="auto"/>
      <w:ind w:right="69" w:rightChars="33"/>
      <w:jc w:val="center"/>
    </w:pPr>
    <w:rPr>
      <w:b/>
      <w:bCs/>
      <w:kern w:val="44"/>
      <w:sz w:val="44"/>
      <w:szCs w:val="44"/>
    </w:rPr>
  </w:style>
  <w:style w:type="paragraph" w:customStyle="1" w:styleId="13">
    <w:name w:val="函 正文"/>
    <w:basedOn w:val="1"/>
    <w:link w:val="15"/>
    <w:qFormat/>
    <w:uiPriority w:val="0"/>
    <w:pPr>
      <w:spacing w:line="560" w:lineRule="exact"/>
    </w:pPr>
    <w:rPr>
      <w:rFonts w:ascii="仿宋_GB2312" w:eastAsia="仿宋_GB2312"/>
      <w:kern w:val="0"/>
      <w:sz w:val="32"/>
      <w:szCs w:val="24"/>
    </w:rPr>
  </w:style>
  <w:style w:type="paragraph" w:customStyle="1" w:styleId="14">
    <w:name w:val="函 一级标题"/>
    <w:basedOn w:val="13"/>
    <w:link w:val="16"/>
    <w:qFormat/>
    <w:uiPriority w:val="0"/>
    <w:rPr>
      <w:rFonts w:ascii="黑体" w:eastAsia="黑体"/>
      <w:color w:val="000000"/>
      <w:szCs w:val="32"/>
    </w:rPr>
  </w:style>
  <w:style w:type="character" w:customStyle="1" w:styleId="15">
    <w:name w:val="函 正文 Char"/>
    <w:link w:val="13"/>
    <w:qFormat/>
    <w:uiPriority w:val="0"/>
    <w:rPr>
      <w:rFonts w:ascii="仿宋_GB2312" w:eastAsia="仿宋_GB2312"/>
      <w:kern w:val="0"/>
      <w:sz w:val="32"/>
      <w:szCs w:val="24"/>
    </w:rPr>
  </w:style>
  <w:style w:type="character" w:customStyle="1" w:styleId="16">
    <w:name w:val="函 一级标题 Char"/>
    <w:link w:val="14"/>
    <w:qFormat/>
    <w:uiPriority w:val="0"/>
    <w:rPr>
      <w:rFonts w:ascii="黑体" w:eastAsia="黑体"/>
      <w:color w:val="00000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2020-08-17T06:36:17Z</dcterms:created>
  <dc:creator>75934</dc:creator>
  <cp:lastModifiedBy>郭威</cp:lastModifiedBy>
  <dcterms:modified xsi:type="dcterms:W3CDTF">2020-08-17T06:36:47Z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