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both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center"/>
        <w:textAlignment w:val="auto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sz w:val="44"/>
          <w:szCs w:val="44"/>
        </w:rPr>
        <w:t>技术响应、偏离情况说明表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</w:t>
      </w:r>
    </w:p>
    <w:tbl>
      <w:tblPr>
        <w:tblStyle w:val="3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说明：应对照文件“二、项目内容及服务要求”中“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服务要求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”逐条说明所提供服务已对技术规格要求做出了实质性的响应，并申明与技术规格条文的响应和偏离。特别对有具体参数要求的指标，供应商必须提供具体参数值。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r>
        <w:rPr>
          <w:rFonts w:hint="eastAsia" w:ascii="仿宋_GB2312" w:hAnsi="Courier New" w:eastAsia="仿宋_GB2312"/>
          <w:sz w:val="28"/>
          <w:szCs w:val="28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719CA"/>
    <w:rsid w:val="5F7719CA"/>
    <w:rsid w:val="9EFFA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2020-10-12T18:34:00Z</dcterms:created>
  <dc:creator>鱼儿晒太阳</dc:creator>
  <cp:lastModifiedBy>tangwenwu</cp:lastModifiedBy>
  <dcterms:modified xsi:type="dcterms:W3CDTF">2022-07-06T09:10:22Z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