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b/>
          <w:bCs/>
          <w:sz w:val="44"/>
          <w:szCs w:val="44"/>
          <w:lang w:val="en-US" w:eastAsia="zh-CN"/>
        </w:rPr>
      </w:pPr>
      <w:r>
        <w:rPr>
          <w:rFonts w:hint="eastAsia" w:ascii="黑体" w:hAnsi="黑体" w:eastAsia="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深圳市金融稳定发展研究院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研修班项目介</w:t>
      </w:r>
      <w:r>
        <w:rPr>
          <w:rFonts w:hint="eastAsia" w:ascii="方正小标宋简体" w:hAnsi="方正小标宋简体" w:eastAsia="方正小标宋简体" w:cs="方正小标宋简体"/>
          <w:b w:val="0"/>
          <w:bCs w:val="0"/>
          <w:sz w:val="44"/>
          <w:szCs w:val="44"/>
        </w:rPr>
        <w:t>绍</w:t>
      </w:r>
    </w:p>
    <w:p>
      <w:pPr>
        <w:pStyle w:val="2"/>
        <w:keepNext w:val="0"/>
        <w:keepLines w:val="0"/>
        <w:pageBreakBefore w:val="0"/>
        <w:widowControl w:val="0"/>
        <w:numPr>
          <w:ilvl w:val="0"/>
          <w:numId w:val="2"/>
        </w:numPr>
        <w:kinsoku/>
        <w:wordWrap/>
        <w:overflowPunct/>
        <w:topLinePunct w:val="0"/>
        <w:autoSpaceDE/>
        <w:autoSpaceDN/>
        <w:bidi w:val="0"/>
        <w:adjustRightInd/>
        <w:snapToGrid/>
        <w:ind w:left="420" w:leftChars="0" w:right="0" w:rightChars="0" w:hanging="420" w:firstLineChars="0"/>
        <w:jc w:val="center"/>
        <w:textAlignment w:val="auto"/>
        <w:rPr>
          <w:rFonts w:hint="eastAsia" w:ascii="黑体" w:hAnsi="黑体" w:eastAsia="黑体" w:cs="Times New Roman"/>
          <w:b/>
          <w:bCs/>
          <w:color w:val="auto"/>
          <w:kern w:val="2"/>
          <w:sz w:val="36"/>
          <w:szCs w:val="36"/>
          <w:lang w:val="en-US" w:eastAsia="zh-CN" w:bidi="ar-SA"/>
        </w:rPr>
      </w:pPr>
      <w:r>
        <w:rPr>
          <w:rFonts w:hint="eastAsia" w:ascii="黑体" w:hAnsi="黑体" w:eastAsia="黑体" w:cs="Times New Roman"/>
          <w:b w:val="0"/>
          <w:bCs w:val="0"/>
          <w:color w:val="auto"/>
          <w:kern w:val="2"/>
          <w:sz w:val="36"/>
          <w:szCs w:val="36"/>
          <w:lang w:val="en-US" w:eastAsia="zh-CN" w:bidi="ar-SA"/>
        </w:rPr>
        <w:t>第一部分“金融监管与合规”专题研修班（项目一）</w:t>
      </w:r>
    </w:p>
    <w:p>
      <w:pPr>
        <w:spacing w:before="240"/>
        <w:ind w:firstLine="640" w:firstLineChars="200"/>
        <w:rPr>
          <w:rFonts w:ascii="仿宋_GB2312" w:eastAsia="仿宋_GB2312"/>
          <w:b/>
          <w:bCs/>
          <w:sz w:val="28"/>
          <w:szCs w:val="28"/>
        </w:rPr>
      </w:pPr>
      <w:r>
        <w:rPr>
          <w:rFonts w:hint="eastAsia" w:ascii="黑体" w:hAnsi="黑体" w:eastAsia="黑体"/>
          <w:b w:val="0"/>
          <w:bCs w:val="0"/>
          <w:sz w:val="32"/>
          <w:szCs w:val="32"/>
        </w:rPr>
        <w:t>一、项目亮点</w:t>
      </w:r>
    </w:p>
    <w:p>
      <w:pPr>
        <w:spacing w:line="360" w:lineRule="auto"/>
        <w:ind w:firstLine="643" w:firstLineChars="200"/>
        <w:rPr>
          <w:rFonts w:hint="eastAsia" w:ascii="仿宋_GB2312" w:hAnsi="仿宋_GB2312" w:eastAsia="仿宋_GB2312" w:cs="仿宋_GB2312"/>
          <w:b w:val="0"/>
          <w:bCs w:val="0"/>
          <w:color w:val="333333"/>
          <w:kern w:val="0"/>
          <w:sz w:val="32"/>
          <w:szCs w:val="32"/>
          <w:shd w:val="clear" w:color="auto" w:fill="FFFFFF"/>
          <w:lang w:val="en-US" w:eastAsia="zh-CN" w:bidi="ar-SA"/>
        </w:rPr>
      </w:pPr>
      <w:r>
        <w:rPr>
          <w:rFonts w:hint="eastAsia" w:ascii="仿宋_GB2312" w:hAnsi="仿宋_GB2312" w:eastAsia="仿宋_GB2312" w:cs="仿宋_GB2312"/>
          <w:b/>
          <w:bCs/>
          <w:color w:val="333333"/>
          <w:kern w:val="0"/>
          <w:sz w:val="32"/>
          <w:szCs w:val="32"/>
          <w:shd w:val="clear" w:color="auto" w:fill="FFFFFF"/>
          <w:lang w:val="en-US" w:eastAsia="zh-CN"/>
        </w:rPr>
        <w:t>搭建监管专家师资队伍，推动解决实际问题。</w:t>
      </w:r>
      <w:r>
        <w:rPr>
          <w:rFonts w:hint="eastAsia" w:ascii="仿宋_GB2312" w:hAnsi="仿宋_GB2312" w:eastAsia="仿宋_GB2312" w:cs="仿宋_GB2312"/>
          <w:b w:val="0"/>
          <w:bCs w:val="0"/>
          <w:color w:val="333333"/>
          <w:kern w:val="0"/>
          <w:sz w:val="32"/>
          <w:szCs w:val="32"/>
          <w:shd w:val="clear" w:color="auto" w:fill="FFFFFF"/>
          <w:lang w:val="en-US" w:eastAsia="zh-CN"/>
        </w:rPr>
        <w:t>针对“金融监管与合规”前沿问题，积累各监管条线一线</w:t>
      </w:r>
      <w:r>
        <w:rPr>
          <w:rFonts w:hint="eastAsia" w:ascii="仿宋_GB2312" w:hAnsi="仿宋_GB2312" w:eastAsia="仿宋_GB2312" w:cs="仿宋_GB2312"/>
          <w:b w:val="0"/>
          <w:bCs w:val="0"/>
          <w:color w:val="333333"/>
          <w:kern w:val="0"/>
          <w:sz w:val="32"/>
          <w:szCs w:val="32"/>
          <w:highlight w:val="none"/>
          <w:shd w:val="clear" w:color="auto" w:fill="FFFFFF"/>
          <w:lang w:val="en-US" w:eastAsia="zh-CN"/>
        </w:rPr>
        <w:t>专家及实操经验丰富权威，组织深入研讨活动，研判实际问题</w:t>
      </w:r>
      <w:r>
        <w:rPr>
          <w:rFonts w:hint="eastAsia" w:ascii="仿宋_GB2312" w:hAnsi="仿宋_GB2312" w:eastAsia="仿宋_GB2312" w:cs="仿宋_GB2312"/>
          <w:b w:val="0"/>
          <w:bCs w:val="0"/>
          <w:color w:val="333333"/>
          <w:kern w:val="0"/>
          <w:sz w:val="32"/>
          <w:szCs w:val="32"/>
          <w:shd w:val="clear" w:color="auto" w:fill="FFFFFF"/>
          <w:lang w:val="en-US" w:eastAsia="zh-CN"/>
        </w:rPr>
        <w:t>，推动学员合规水平提升。同时，基于前期</w:t>
      </w:r>
      <w:r>
        <w:rPr>
          <w:rFonts w:hint="eastAsia" w:ascii="仿宋_GB2312" w:eastAsia="仿宋_GB2312"/>
          <w:sz w:val="32"/>
          <w:szCs w:val="32"/>
        </w:rPr>
        <w:t>对深圳辖区内八百多家金融机构进行</w:t>
      </w:r>
      <w:r>
        <w:rPr>
          <w:rFonts w:hint="eastAsia" w:ascii="仿宋_GB2312" w:eastAsia="仿宋_GB2312"/>
          <w:sz w:val="32"/>
          <w:szCs w:val="32"/>
          <w:lang w:eastAsia="zh-CN"/>
        </w:rPr>
        <w:t>的</w:t>
      </w:r>
      <w:r>
        <w:rPr>
          <w:rFonts w:hint="eastAsia" w:ascii="仿宋_GB2312" w:eastAsia="仿宋_GB2312"/>
          <w:sz w:val="32"/>
          <w:szCs w:val="32"/>
        </w:rPr>
        <w:t>深度调研</w:t>
      </w:r>
      <w:r>
        <w:rPr>
          <w:rFonts w:hint="eastAsia" w:ascii="仿宋_GB2312" w:eastAsia="仿宋_GB2312"/>
          <w:sz w:val="32"/>
          <w:szCs w:val="32"/>
          <w:lang w:val="en-US" w:eastAsia="zh-CN"/>
        </w:rPr>
        <w:t>及</w:t>
      </w:r>
      <w:r>
        <w:rPr>
          <w:rFonts w:hint="eastAsia" w:ascii="仿宋_GB2312" w:hAnsi="仿宋_GB2312" w:eastAsia="仿宋_GB2312" w:cs="仿宋_GB2312"/>
          <w:sz w:val="32"/>
          <w:szCs w:val="32"/>
        </w:rPr>
        <w:t>800多份有效问卷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研究院对</w:t>
      </w:r>
      <w:r>
        <w:rPr>
          <w:rFonts w:hint="eastAsia" w:ascii="仿宋_GB2312" w:eastAsia="仿宋_GB2312"/>
          <w:sz w:val="32"/>
          <w:szCs w:val="32"/>
        </w:rPr>
        <w:t>全市金融骨干人才的培训需求进行深入理解与积极响应</w:t>
      </w:r>
      <w:r>
        <w:rPr>
          <w:rFonts w:hint="eastAsia" w:ascii="仿宋_GB2312" w:eastAsia="仿宋_GB2312"/>
          <w:sz w:val="32"/>
          <w:szCs w:val="32"/>
          <w:lang w:eastAsia="zh-CN"/>
        </w:rPr>
        <w:t>。</w:t>
      </w:r>
      <w:r>
        <w:rPr>
          <w:rFonts w:hint="eastAsia" w:ascii="仿宋_GB2312" w:eastAsia="仿宋_GB2312"/>
          <w:sz w:val="32"/>
          <w:szCs w:val="32"/>
          <w:lang w:val="en-US" w:eastAsia="zh-CN"/>
        </w:rPr>
        <w:t>本项目</w:t>
      </w:r>
      <w:r>
        <w:rPr>
          <w:rFonts w:hint="eastAsia" w:ascii="仿宋_GB2312" w:hAnsi="仿宋_GB2312" w:eastAsia="仿宋_GB2312" w:cs="仿宋_GB2312"/>
          <w:b w:val="0"/>
          <w:bCs w:val="0"/>
          <w:color w:val="333333"/>
          <w:kern w:val="0"/>
          <w:sz w:val="32"/>
          <w:szCs w:val="32"/>
          <w:shd w:val="clear" w:color="auto" w:fill="FFFFFF"/>
          <w:lang w:val="en-US" w:eastAsia="zh-CN" w:bidi="ar-SA"/>
        </w:rPr>
        <w:t>邀请来自金融监管机构等政府部门的原任或现任主要领导，或国际大型金融机构、产业集团的一线金融、实体企业高管及学界相关领域的知名专家，搭建多元化、高层次监管专家师资队伍，推进实际问题解决。</w:t>
      </w:r>
    </w:p>
    <w:p>
      <w:pPr>
        <w:spacing w:line="360" w:lineRule="auto"/>
        <w:ind w:firstLine="643" w:firstLineChars="200"/>
        <w:rPr>
          <w:rFonts w:hint="eastAsia" w:ascii="仿宋_GB2312" w:hAnsi="仿宋_GB2312" w:eastAsia="仿宋_GB2312" w:cs="仿宋_GB2312"/>
          <w:b w:val="0"/>
          <w:bCs w:val="0"/>
          <w:color w:val="333333"/>
          <w:kern w:val="0"/>
          <w:sz w:val="32"/>
          <w:szCs w:val="32"/>
          <w:shd w:val="clear" w:color="auto" w:fill="FFFFFF"/>
          <w:lang w:val="en-US" w:eastAsia="zh-CN" w:bidi="ar-SA"/>
        </w:rPr>
      </w:pPr>
      <w:r>
        <w:rPr>
          <w:rFonts w:hint="eastAsia" w:ascii="仿宋_GB2312" w:hAnsi="仿宋_GB2312" w:eastAsia="仿宋_GB2312" w:cs="仿宋_GB2312"/>
          <w:b/>
          <w:bCs/>
          <w:color w:val="333333"/>
          <w:kern w:val="0"/>
          <w:sz w:val="32"/>
          <w:szCs w:val="32"/>
          <w:shd w:val="clear" w:color="auto" w:fill="FFFFFF"/>
          <w:lang w:val="en-US" w:eastAsia="zh-CN" w:bidi="ar-SA"/>
        </w:rPr>
        <w:t>注重综合能力培养，立足专业拓宽视野。</w:t>
      </w:r>
      <w:r>
        <w:rPr>
          <w:rFonts w:hint="eastAsia" w:ascii="仿宋_GB2312" w:hAnsi="仿宋_GB2312" w:eastAsia="仿宋_GB2312" w:cs="仿宋_GB2312"/>
          <w:b w:val="0"/>
          <w:bCs w:val="0"/>
          <w:color w:val="333333"/>
          <w:kern w:val="0"/>
          <w:sz w:val="32"/>
          <w:szCs w:val="32"/>
          <w:shd w:val="clear" w:color="auto" w:fill="FFFFFF"/>
          <w:lang w:val="en-US" w:eastAsia="zh-CN" w:bidi="ar-SA"/>
        </w:rPr>
        <w:t>围绕“金融监管与合规”专题方向开展系统学习和交流，并辅助宏观金融经济形势和国家、地区的战略发展规划、政策方针的讲授，帮助学员在提升业务水平基础上以宏观视角拓展工作思路。</w:t>
      </w:r>
    </w:p>
    <w:p>
      <w:pPr>
        <w:spacing w:line="360" w:lineRule="auto"/>
        <w:ind w:firstLine="643" w:firstLineChars="200"/>
        <w:rPr>
          <w:rFonts w:hint="eastAsia" w:ascii="仿宋_GB2312" w:hAnsi="仿宋_GB2312" w:eastAsia="仿宋_GB2312" w:cs="仿宋_GB2312"/>
          <w:b w:val="0"/>
          <w:bCs w:val="0"/>
          <w:color w:val="333333"/>
          <w:kern w:val="0"/>
          <w:sz w:val="32"/>
          <w:szCs w:val="32"/>
          <w:shd w:val="clear" w:color="auto" w:fill="FFFFFF"/>
          <w:lang w:val="en-US" w:eastAsia="zh-CN" w:bidi="ar-SA"/>
        </w:rPr>
      </w:pPr>
      <w:r>
        <w:rPr>
          <w:rFonts w:hint="eastAsia" w:ascii="仿宋_GB2312" w:hAnsi="仿宋_GB2312" w:eastAsia="仿宋_GB2312" w:cs="仿宋_GB2312"/>
          <w:b/>
          <w:bCs/>
          <w:color w:val="333333"/>
          <w:kern w:val="0"/>
          <w:sz w:val="32"/>
          <w:szCs w:val="32"/>
          <w:shd w:val="clear" w:color="auto" w:fill="FFFFFF"/>
          <w:lang w:val="en-US" w:eastAsia="zh-CN" w:bidi="ar-SA"/>
        </w:rPr>
        <w:t>授课结合研讨，搭建交流成长平台</w:t>
      </w:r>
      <w:r>
        <w:rPr>
          <w:rFonts w:hint="eastAsia" w:ascii="仿宋_GB2312" w:hAnsi="仿宋_GB2312" w:eastAsia="仿宋_GB2312" w:cs="仿宋_GB2312"/>
          <w:b w:val="0"/>
          <w:bCs w:val="0"/>
          <w:color w:val="333333"/>
          <w:kern w:val="0"/>
          <w:sz w:val="32"/>
          <w:szCs w:val="32"/>
          <w:shd w:val="clear" w:color="auto" w:fill="FFFFFF"/>
          <w:lang w:val="en-US" w:eastAsia="zh-CN" w:bidi="ar-SA"/>
        </w:rPr>
        <w:t>。研究院已经成功举办2019届、2020届及2021届共3届“深圳市金融领军人才培训”，现已累积“金融领军人才”学员共130余人，与深圳市100余家金融机构维持着密切的合作关系。研究院将充分整合现有的优质资源，链接“金融领军人才”及“金融骨干人才”，组织</w:t>
      </w:r>
      <w:r>
        <w:rPr>
          <w:rFonts w:hint="default" w:ascii="仿宋_GB2312" w:hAnsi="仿宋_GB2312" w:eastAsia="仿宋_GB2312" w:cs="仿宋_GB2312"/>
          <w:b w:val="0"/>
          <w:bCs w:val="0"/>
          <w:color w:val="333333"/>
          <w:kern w:val="0"/>
          <w:sz w:val="32"/>
          <w:szCs w:val="32"/>
          <w:shd w:val="clear" w:color="auto" w:fill="FFFFFF"/>
          <w:lang w:val="en-US" w:eastAsia="zh-CN" w:bidi="ar-SA"/>
        </w:rPr>
        <w:t>形式多样</w:t>
      </w:r>
      <w:r>
        <w:rPr>
          <w:rFonts w:hint="eastAsia" w:ascii="仿宋_GB2312" w:hAnsi="仿宋_GB2312" w:eastAsia="仿宋_GB2312" w:cs="仿宋_GB2312"/>
          <w:b w:val="0"/>
          <w:bCs w:val="0"/>
          <w:color w:val="333333"/>
          <w:kern w:val="0"/>
          <w:sz w:val="32"/>
          <w:szCs w:val="32"/>
          <w:shd w:val="clear" w:color="auto" w:fill="FFFFFF"/>
          <w:lang w:val="en-US" w:eastAsia="zh-CN" w:bidi="ar-SA"/>
        </w:rPr>
        <w:t>的</w:t>
      </w:r>
      <w:r>
        <w:rPr>
          <w:rFonts w:hint="default" w:ascii="仿宋_GB2312" w:hAnsi="仿宋_GB2312" w:eastAsia="仿宋_GB2312" w:cs="仿宋_GB2312"/>
          <w:b w:val="0"/>
          <w:bCs w:val="0"/>
          <w:color w:val="333333"/>
          <w:kern w:val="0"/>
          <w:sz w:val="32"/>
          <w:szCs w:val="32"/>
          <w:shd w:val="clear" w:color="auto" w:fill="FFFFFF"/>
          <w:lang w:val="en-US" w:eastAsia="zh-CN" w:bidi="ar-SA"/>
        </w:rPr>
        <w:t>研讨交流活动</w:t>
      </w:r>
      <w:r>
        <w:rPr>
          <w:rFonts w:hint="eastAsia" w:ascii="仿宋_GB2312" w:hAnsi="仿宋_GB2312" w:eastAsia="仿宋_GB2312" w:cs="仿宋_GB2312"/>
          <w:b w:val="0"/>
          <w:bCs w:val="0"/>
          <w:color w:val="333333"/>
          <w:kern w:val="0"/>
          <w:sz w:val="32"/>
          <w:szCs w:val="32"/>
          <w:shd w:val="clear" w:color="auto" w:fill="FFFFFF"/>
          <w:lang w:val="en-US" w:eastAsia="zh-CN" w:bidi="ar-SA"/>
        </w:rPr>
        <w:t>，包括但不限于</w:t>
      </w:r>
      <w:r>
        <w:rPr>
          <w:rFonts w:hint="default" w:ascii="仿宋_GB2312" w:hAnsi="仿宋_GB2312" w:eastAsia="仿宋_GB2312" w:cs="仿宋_GB2312"/>
          <w:b w:val="0"/>
          <w:bCs w:val="0"/>
          <w:color w:val="333333"/>
          <w:kern w:val="0"/>
          <w:sz w:val="32"/>
          <w:szCs w:val="32"/>
          <w:shd w:val="clear" w:color="auto" w:fill="FFFFFF"/>
          <w:lang w:val="en-US" w:eastAsia="zh-CN" w:bidi="ar-SA"/>
        </w:rPr>
        <w:t>圆桌论坛、企业参访、学员研讨等</w:t>
      </w:r>
      <w:r>
        <w:rPr>
          <w:rFonts w:hint="eastAsia" w:ascii="仿宋_GB2312" w:hAnsi="仿宋_GB2312" w:eastAsia="仿宋_GB2312" w:cs="仿宋_GB2312"/>
          <w:b w:val="0"/>
          <w:bCs w:val="0"/>
          <w:color w:val="333333"/>
          <w:kern w:val="0"/>
          <w:sz w:val="32"/>
          <w:szCs w:val="32"/>
          <w:shd w:val="clear" w:color="auto" w:fill="FFFFFF"/>
          <w:lang w:val="en-US" w:eastAsia="zh-CN" w:bidi="ar-SA"/>
        </w:rPr>
        <w:t>，旨在</w:t>
      </w:r>
      <w:r>
        <w:rPr>
          <w:rFonts w:hint="default" w:ascii="仿宋_GB2312" w:hAnsi="仿宋_GB2312" w:eastAsia="仿宋_GB2312" w:cs="仿宋_GB2312"/>
          <w:b w:val="0"/>
          <w:bCs w:val="0"/>
          <w:color w:val="333333"/>
          <w:kern w:val="0"/>
          <w:sz w:val="32"/>
          <w:szCs w:val="32"/>
          <w:shd w:val="clear" w:color="auto" w:fill="FFFFFF"/>
          <w:lang w:val="en-US" w:eastAsia="zh-CN" w:bidi="ar-SA"/>
        </w:rPr>
        <w:t>促进学员的全方位沟通</w:t>
      </w:r>
      <w:r>
        <w:rPr>
          <w:rFonts w:hint="eastAsia" w:ascii="仿宋_GB2312" w:hAnsi="仿宋_GB2312" w:eastAsia="仿宋_GB2312" w:cs="仿宋_GB2312"/>
          <w:b w:val="0"/>
          <w:bCs w:val="0"/>
          <w:color w:val="333333"/>
          <w:kern w:val="0"/>
          <w:sz w:val="32"/>
          <w:szCs w:val="32"/>
          <w:shd w:val="clear" w:color="auto" w:fill="FFFFFF"/>
          <w:lang w:val="en-US" w:eastAsia="zh-CN" w:bidi="ar-SA"/>
        </w:rPr>
        <w:t>，</w:t>
      </w:r>
      <w:r>
        <w:rPr>
          <w:rFonts w:hint="eastAsia" w:ascii="仿宋_GB2312" w:hAnsi="仿宋_GB2312" w:eastAsia="仿宋_GB2312" w:cs="仿宋_GB2312"/>
          <w:color w:val="333333"/>
          <w:kern w:val="0"/>
          <w:sz w:val="32"/>
          <w:szCs w:val="32"/>
          <w:shd w:val="clear" w:color="auto" w:fill="FFFFFF"/>
        </w:rPr>
        <w:t>推动跨行业交流</w:t>
      </w:r>
      <w:r>
        <w:rPr>
          <w:rFonts w:hint="eastAsia" w:ascii="仿宋_GB2312" w:hAnsi="仿宋_GB2312" w:eastAsia="仿宋_GB2312" w:cs="仿宋_GB2312"/>
          <w:color w:val="333333"/>
          <w:kern w:val="0"/>
          <w:sz w:val="32"/>
          <w:szCs w:val="32"/>
          <w:shd w:val="clear" w:color="auto" w:fill="FFFFFF"/>
          <w:lang w:eastAsia="zh-CN"/>
        </w:rPr>
        <w:t>。</w:t>
      </w:r>
    </w:p>
    <w:p>
      <w:pPr>
        <w:spacing w:line="360" w:lineRule="auto"/>
        <w:ind w:left="0" w:leftChars="0" w:right="0" w:rightChars="0" w:firstLine="0" w:firstLineChars="0"/>
        <w:jc w:val="center"/>
        <w:rPr>
          <w:rFonts w:hint="eastAsia" w:ascii="仿宋_GB2312" w:hAnsi="楷体" w:eastAsia="仿宋_GB2312"/>
          <w:sz w:val="24"/>
          <w:szCs w:val="24"/>
        </w:rPr>
      </w:pPr>
      <w:r>
        <w:rPr>
          <w:rFonts w:hint="default" w:ascii="仿宋_GB2312" w:hAnsi="仿宋_GB2312" w:eastAsia="仿宋_GB2312" w:cs="仿宋_GB2312"/>
          <w:b w:val="0"/>
          <w:bCs w:val="0"/>
          <w:color w:val="333333"/>
          <w:kern w:val="0"/>
          <w:sz w:val="24"/>
          <w:szCs w:val="24"/>
          <w:shd w:val="clear" w:color="auto" w:fill="FFFFFF"/>
          <w:lang w:val="en-US" w:eastAsia="zh-CN" w:bidi="ar-SA"/>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183515</wp:posOffset>
            </wp:positionV>
            <wp:extent cx="5267325" cy="2936875"/>
            <wp:effectExtent l="0" t="0" r="5715" b="444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7325" cy="2936875"/>
                    </a:xfrm>
                    <a:prstGeom prst="rect">
                      <a:avLst/>
                    </a:prstGeom>
                    <a:noFill/>
                    <a:ln>
                      <a:noFill/>
                    </a:ln>
                  </pic:spPr>
                </pic:pic>
              </a:graphicData>
            </a:graphic>
          </wp:anchor>
        </w:drawing>
      </w:r>
      <w:r>
        <w:rPr>
          <w:rFonts w:hint="eastAsia" w:ascii="仿宋_GB2312" w:hAnsi="仿宋_GB2312" w:eastAsia="仿宋_GB2312" w:cs="仿宋_GB2312"/>
          <w:b w:val="0"/>
          <w:bCs w:val="0"/>
          <w:color w:val="333333"/>
          <w:kern w:val="0"/>
          <w:sz w:val="24"/>
          <w:szCs w:val="24"/>
          <w:shd w:val="clear" w:color="auto" w:fill="FFFFFF"/>
          <w:lang w:val="en-US" w:eastAsia="zh-CN" w:bidi="ar-SA"/>
        </w:rPr>
        <w:t>图一：“金融监管与合规”</w:t>
      </w:r>
      <w:r>
        <w:rPr>
          <w:rFonts w:hint="eastAsia" w:ascii="仿宋_GB2312" w:hAnsi="楷体" w:eastAsia="仿宋_GB2312"/>
          <w:sz w:val="24"/>
          <w:szCs w:val="24"/>
        </w:rPr>
        <w:t>模块设计</w:t>
      </w:r>
      <w:r>
        <w:rPr>
          <w:rFonts w:hint="eastAsia" w:ascii="仿宋_GB2312" w:hAnsi="楷体" w:eastAsia="仿宋_GB2312"/>
          <w:sz w:val="24"/>
          <w:szCs w:val="24"/>
        </w:rPr>
        <w:br w:type="textWrapping"/>
      </w:r>
    </w:p>
    <w:p>
      <w:pPr>
        <w:rPr>
          <w:rFonts w:hint="eastAsia"/>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spacing w:after="240"/>
        <w:ind w:firstLine="640" w:firstLineChars="200"/>
        <w:rPr>
          <w:rFonts w:ascii="黑体" w:hAnsi="黑体" w:eastAsia="黑体"/>
          <w:b/>
          <w:bCs/>
          <w:sz w:val="32"/>
          <w:szCs w:val="32"/>
        </w:rPr>
      </w:pPr>
      <w:r>
        <w:rPr>
          <w:rFonts w:hint="eastAsia" w:ascii="黑体" w:hAnsi="黑体" w:eastAsia="黑体"/>
          <w:b w:val="0"/>
          <w:bCs w:val="0"/>
          <w:sz w:val="32"/>
          <w:szCs w:val="32"/>
        </w:rPr>
        <w:t>二、课程设置及师资介绍</w:t>
      </w:r>
    </w:p>
    <w:tbl>
      <w:tblPr>
        <w:tblStyle w:val="7"/>
        <w:tblW w:w="6154" w:type="pct"/>
        <w:tblCellSpacing w:w="0" w:type="dxa"/>
        <w:tblInd w:w="-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4"/>
        <w:gridCol w:w="3358"/>
        <w:gridCol w:w="923"/>
        <w:gridCol w:w="5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0" w:hRule="atLeast"/>
          <w:tblCellSpacing w:w="0" w:type="dxa"/>
        </w:trPr>
        <w:tc>
          <w:tcPr>
            <w:tcW w:w="440" w:type="pct"/>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0"/>
                <w:szCs w:val="18"/>
              </w:rPr>
            </w:pPr>
            <w:r>
              <w:rPr>
                <w:b/>
                <w:bCs/>
                <w:color w:val="FFFFFF"/>
                <w:sz w:val="24"/>
                <w:szCs w:val="24"/>
              </w:rPr>
              <w:t>模块</w:t>
            </w:r>
          </w:p>
        </w:tc>
        <w:tc>
          <w:tcPr>
            <w:tcW w:w="1583" w:type="pct"/>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0"/>
                <w:szCs w:val="18"/>
              </w:rPr>
            </w:pPr>
            <w:r>
              <w:rPr>
                <w:b/>
                <w:bCs/>
                <w:color w:val="FFFFFF"/>
                <w:sz w:val="24"/>
                <w:szCs w:val="24"/>
              </w:rPr>
              <w:t>研修课程</w:t>
            </w:r>
          </w:p>
        </w:tc>
        <w:tc>
          <w:tcPr>
            <w:tcW w:w="2976" w:type="pct"/>
            <w:gridSpan w:val="2"/>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0"/>
                <w:szCs w:val="18"/>
              </w:rPr>
            </w:pPr>
            <w:r>
              <w:rPr>
                <w:b/>
                <w:bCs/>
                <w:color w:val="FFFFFF"/>
                <w:sz w:val="24"/>
                <w:szCs w:val="24"/>
                <w:shd w:val="clear" w:fill="0E335B"/>
              </w:rPr>
              <w:t>师</w:t>
            </w:r>
            <w:r>
              <w:rPr>
                <w:rFonts w:hint="eastAsia"/>
                <w:b/>
                <w:bCs/>
                <w:color w:val="FFFFFF"/>
                <w:sz w:val="24"/>
                <w:szCs w:val="24"/>
                <w:shd w:val="clear" w:fill="0E335B"/>
                <w:lang w:val="en-US" w:eastAsia="zh-CN"/>
              </w:rPr>
              <w:t xml:space="preserve">  </w:t>
            </w:r>
            <w:r>
              <w:rPr>
                <w:b/>
                <w:bCs/>
                <w:color w:val="FFFFFF"/>
                <w:sz w:val="24"/>
                <w:szCs w:val="24"/>
                <w:shd w:val="clear" w:fill="0E335B"/>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blCellSpacing w:w="0" w:type="dxa"/>
        </w:trPr>
        <w:tc>
          <w:tcPr>
            <w:tcW w:w="440" w:type="pct"/>
            <w:vMerge w:val="restar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2"/>
                <w:szCs w:val="21"/>
              </w:rPr>
            </w:pPr>
            <w:r>
              <w:rPr>
                <w:color w:val="000000"/>
                <w:sz w:val="24"/>
                <w:szCs w:val="24"/>
              </w:rPr>
              <w:t>主题课程</w:t>
            </w: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ascii="黑体" w:hAnsi="宋体" w:eastAsia="黑体" w:cs="黑体"/>
                <w:color w:val="000000"/>
                <w:sz w:val="22"/>
                <w:szCs w:val="22"/>
              </w:rPr>
              <w:t>1.</w:t>
            </w:r>
            <w:r>
              <w:rPr>
                <w:rFonts w:hint="eastAsia" w:ascii="黑体" w:hAnsi="宋体" w:eastAsia="黑体" w:cs="黑体"/>
                <w:color w:val="000000"/>
                <w:sz w:val="22"/>
                <w:szCs w:val="22"/>
              </w:rPr>
              <w:t>中国金融监管演进及未来方向</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于学军</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eastAsia" w:ascii="仿宋_GB2312" w:eastAsia="仿宋_GB2312" w:cs="仿宋_GB2312"/>
                <w:color w:val="333333"/>
                <w:sz w:val="22"/>
                <w:szCs w:val="22"/>
              </w:rPr>
              <w:t>经济学博士，中国银行保险监督管理委员会原副部长级干部、国有重点金融机构原监事会主席。曾任江苏银监局党委书记、局长，深圳银监局党委书记、局长，中国人民银行深圳分行副行长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9"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2.防范化解系统性金融风险背景下银行业的监管创新</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陈飞鸿</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中国银行保险监督管理委员会深圳监管局党委委员、副局长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3.全面注册制下的监管与证券行业高质量发展</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陈</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剑</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中国证券监督管理委员会深圳监管局党委委员、副局长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4.“偿二代”新规及对保险监管的影响</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陈</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风</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中国银行保险监督管理委员会深圳监管局党委委员、一级巡视员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5.金融创新与跨境开放背景下深圳金融体系的风险与监管应对</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冯子兴</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人民银行深圳市中心支行党委委员、副行长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6.地方金融机构监管创新与发展</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王新东</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深圳市地方金融监督管理局（深圳市政府金融工作办公室）党组成员、副局长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7.监管科技的技术发展与应用</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喻华丽</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深圳证券交易所总工程师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8.金融风险监测预警与监管科技实践—以腾讯和监管科技生态倡议为例</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杜明灯</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eastAsia" w:ascii="仿宋_GB2312" w:eastAsia="仿宋_GB2312" w:cs="仿宋_GB2312"/>
                <w:color w:val="333333"/>
                <w:sz w:val="22"/>
                <w:szCs w:val="22"/>
              </w:rPr>
              <w:t>腾讯安全副总经理</w:t>
            </w:r>
            <w:r>
              <w:rPr>
                <w:rFonts w:hint="eastAsia" w:ascii="仿宋_GB2312" w:eastAsia="仿宋_GB2312" w:cs="仿宋_GB2312"/>
                <w:color w:val="333333"/>
                <w:sz w:val="22"/>
                <w:szCs w:val="22"/>
                <w:lang w:eastAsia="zh-CN"/>
              </w:rPr>
              <w:t>，</w:t>
            </w:r>
            <w:r>
              <w:rPr>
                <w:rFonts w:hint="eastAsia" w:ascii="仿宋_GB2312" w:eastAsia="仿宋_GB2312" w:cs="仿宋_GB2312"/>
                <w:color w:val="333333"/>
                <w:sz w:val="22"/>
                <w:szCs w:val="22"/>
              </w:rPr>
              <w:t>监管科技首席专家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4" w:hRule="atLeast"/>
          <w:tblCellSpacing w:w="0" w:type="dxa"/>
        </w:trPr>
        <w:tc>
          <w:tcPr>
            <w:tcW w:w="440" w:type="pct"/>
            <w:vMerge w:val="restar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2"/>
                <w:szCs w:val="21"/>
              </w:rPr>
            </w:pPr>
            <w:r>
              <w:rPr>
                <w:color w:val="000000"/>
                <w:sz w:val="24"/>
                <w:szCs w:val="24"/>
              </w:rPr>
              <w:t>公共课程</w:t>
            </w: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9.转型与增长：当前宏观形势分析</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唐</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杰</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仿宋_GB2312" w:eastAsia="仿宋_GB2312" w:cs="仿宋_GB2312"/>
                <w:color w:val="333333"/>
                <w:sz w:val="22"/>
                <w:szCs w:val="22"/>
              </w:rPr>
            </w:pPr>
            <w:r>
              <w:rPr>
                <w:rFonts w:hint="default" w:ascii="仿宋_GB2312" w:eastAsia="仿宋_GB2312" w:cs="仿宋_GB2312"/>
                <w:color w:val="333333"/>
                <w:sz w:val="22"/>
                <w:szCs w:val="22"/>
              </w:rPr>
              <w:t>香港中文大学（深圳）理事、深圳高等金融研究院湾区发展与中国经济研究中心学术主任。哈尔滨工业大学（深圳）经管学院教授、博士研究生导师。国家发改委“十三五”“十四五”国家规划委员会委员。曾任深圳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3" w:hRule="atLeast"/>
          <w:tblCellSpacing w:w="0" w:type="dxa"/>
        </w:trPr>
        <w:tc>
          <w:tcPr>
            <w:tcW w:w="440"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ind w:left="0" w:leftChars="0" w:right="0" w:rightChars="0" w:firstLine="0" w:firstLineChars="0"/>
              <w:jc w:val="center"/>
              <w:rPr>
                <w:rFonts w:hint="eastAsia" w:ascii="宋体"/>
                <w:sz w:val="22"/>
                <w:szCs w:val="22"/>
              </w:rPr>
            </w:pP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10.深圳金融“十四五”规划解读</w:t>
            </w:r>
          </w:p>
        </w:tc>
        <w:tc>
          <w:tcPr>
            <w:tcW w:w="435"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sz w:val="22"/>
                <w:szCs w:val="21"/>
              </w:rPr>
            </w:pPr>
            <w:r>
              <w:rPr>
                <w:rFonts w:hint="eastAsia" w:ascii="黑体" w:hAnsi="宋体" w:eastAsia="黑体" w:cs="黑体"/>
                <w:color w:val="333333"/>
                <w:sz w:val="24"/>
                <w:szCs w:val="24"/>
              </w:rPr>
              <w:t>盛杨怿</w:t>
            </w:r>
          </w:p>
        </w:tc>
        <w:tc>
          <w:tcPr>
            <w:tcW w:w="254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rPr>
                <w:rFonts w:hint="default" w:ascii="仿宋_GB2312" w:eastAsia="仿宋_GB2312" w:cs="仿宋_GB2312"/>
                <w:color w:val="333333"/>
                <w:sz w:val="22"/>
                <w:szCs w:val="22"/>
              </w:rPr>
            </w:pPr>
            <w:r>
              <w:rPr>
                <w:rFonts w:hint="default" w:ascii="仿宋_GB2312" w:eastAsia="仿宋_GB2312" w:cs="仿宋_GB2312"/>
                <w:color w:val="333333"/>
                <w:sz w:val="22"/>
                <w:szCs w:val="22"/>
              </w:rPr>
              <w:t>深圳市地方金融监督管理局政策法规处处长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16" w:hRule="atLeast"/>
          <w:tblCellSpacing w:w="0" w:type="dxa"/>
        </w:trPr>
        <w:tc>
          <w:tcPr>
            <w:tcW w:w="440" w:type="pc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sz w:val="22"/>
                <w:szCs w:val="21"/>
              </w:rPr>
            </w:pPr>
            <w:r>
              <w:rPr>
                <w:color w:val="000000"/>
                <w:sz w:val="24"/>
                <w:szCs w:val="24"/>
              </w:rPr>
              <w:t>圆桌论坛</w:t>
            </w:r>
          </w:p>
        </w:tc>
        <w:tc>
          <w:tcPr>
            <w:tcW w:w="1583" w:type="pc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rPr>
                <w:sz w:val="22"/>
                <w:szCs w:val="21"/>
              </w:rPr>
            </w:pPr>
            <w:r>
              <w:rPr>
                <w:rFonts w:hint="eastAsia" w:ascii="黑体" w:hAnsi="宋体" w:eastAsia="黑体" w:cs="黑体"/>
                <w:color w:val="000000"/>
                <w:sz w:val="22"/>
                <w:szCs w:val="22"/>
              </w:rPr>
              <w:t>构建金融监管新秩序——市场视角</w:t>
            </w:r>
          </w:p>
        </w:tc>
        <w:tc>
          <w:tcPr>
            <w:tcW w:w="2976" w:type="pct"/>
            <w:gridSpan w:val="2"/>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40" w:lineRule="exact"/>
              <w:textAlignment w:val="auto"/>
              <w:rPr>
                <w:rFonts w:hint="eastAsia" w:ascii="仿宋_GB2312" w:eastAsia="仿宋_GB2312" w:cs="仿宋_GB2312"/>
                <w:color w:val="333333"/>
                <w:sz w:val="22"/>
                <w:szCs w:val="22"/>
              </w:rPr>
            </w:pPr>
            <w:r>
              <w:rPr>
                <w:rFonts w:hint="eastAsia" w:ascii="黑体" w:hAnsi="宋体" w:eastAsia="黑体" w:cs="黑体"/>
                <w:color w:val="333333"/>
                <w:sz w:val="22"/>
                <w:szCs w:val="22"/>
                <w:lang w:val="en-US" w:eastAsia="zh-CN"/>
              </w:rPr>
              <w:t>主持人——</w:t>
            </w:r>
            <w:r>
              <w:rPr>
                <w:rFonts w:hint="eastAsia" w:ascii="黑体" w:hAnsi="宋体" w:eastAsia="黑体" w:cs="黑体"/>
                <w:color w:val="333333"/>
                <w:sz w:val="22"/>
                <w:szCs w:val="22"/>
              </w:rPr>
              <w:t>王丛</w:t>
            </w:r>
            <w:r>
              <w:rPr>
                <w:rFonts w:hint="eastAsia" w:ascii="仿宋_GB2312" w:eastAsia="仿宋_GB2312" w:cs="仿宋_GB2312"/>
                <w:color w:val="333333"/>
                <w:sz w:val="22"/>
                <w:szCs w:val="22"/>
              </w:rPr>
              <w:t>，深圳高等金融研究院副院长、香港中文大学（深圳）经管学院教授</w:t>
            </w:r>
          </w:p>
          <w:p>
            <w:pPr>
              <w:pStyle w:val="6"/>
              <w:keepNext w:val="0"/>
              <w:keepLines w:val="0"/>
              <w:pageBreakBefore w:val="0"/>
              <w:widowControl/>
              <w:suppressLineNumbers w:val="0"/>
              <w:kinsoku/>
              <w:wordWrap/>
              <w:overflowPunct/>
              <w:topLinePunct w:val="0"/>
              <w:autoSpaceDE/>
              <w:autoSpaceDN/>
              <w:bidi w:val="0"/>
              <w:adjustRightInd/>
              <w:snapToGrid/>
              <w:spacing w:line="240" w:lineRule="exact"/>
              <w:textAlignment w:val="auto"/>
              <w:rPr>
                <w:rFonts w:hint="eastAsia" w:ascii="黑体" w:hAnsi="宋体" w:eastAsia="黑体" w:cs="黑体"/>
                <w:color w:val="333333"/>
                <w:sz w:val="22"/>
                <w:szCs w:val="22"/>
                <w:lang w:val="en-US" w:eastAsia="zh-CN"/>
              </w:rPr>
            </w:pPr>
            <w:r>
              <w:rPr>
                <w:rFonts w:hint="eastAsia" w:ascii="黑体" w:hAnsi="宋体" w:eastAsia="黑体" w:cs="黑体"/>
                <w:color w:val="333333"/>
                <w:sz w:val="22"/>
                <w:szCs w:val="22"/>
                <w:lang w:val="en-US" w:eastAsia="zh-CN"/>
              </w:rPr>
              <w:t>嘉宾：</w:t>
            </w:r>
            <w:r>
              <w:rPr>
                <w:rFonts w:hint="eastAsia" w:ascii="黑体" w:hAnsi="宋体" w:eastAsia="黑体" w:cs="黑体"/>
                <w:color w:val="333333"/>
                <w:sz w:val="22"/>
                <w:szCs w:val="22"/>
              </w:rPr>
              <w:t>李一平</w:t>
            </w:r>
            <w:r>
              <w:rPr>
                <w:rFonts w:hint="eastAsia" w:ascii="仿宋_GB2312" w:eastAsia="仿宋_GB2312" w:cs="仿宋_GB2312"/>
                <w:color w:val="333333"/>
                <w:sz w:val="22"/>
                <w:szCs w:val="22"/>
              </w:rPr>
              <w:t>，中国银行深圳分行党委委员、副行长</w:t>
            </w:r>
          </w:p>
          <w:p>
            <w:pPr>
              <w:pStyle w:val="6"/>
              <w:keepNext w:val="0"/>
              <w:keepLines w:val="0"/>
              <w:pageBreakBefore w:val="0"/>
              <w:widowControl/>
              <w:suppressLineNumbers w:val="0"/>
              <w:kinsoku/>
              <w:wordWrap/>
              <w:overflowPunct/>
              <w:topLinePunct w:val="0"/>
              <w:autoSpaceDE/>
              <w:autoSpaceDN/>
              <w:bidi w:val="0"/>
              <w:adjustRightInd/>
              <w:snapToGrid/>
              <w:spacing w:line="240" w:lineRule="exact"/>
              <w:textAlignment w:val="auto"/>
              <w:rPr>
                <w:sz w:val="22"/>
                <w:szCs w:val="21"/>
              </w:rPr>
            </w:pPr>
            <w:r>
              <w:rPr>
                <w:rFonts w:hint="eastAsia" w:ascii="黑体" w:hAnsi="宋体" w:eastAsia="黑体" w:cs="黑体"/>
                <w:color w:val="333333"/>
                <w:sz w:val="22"/>
                <w:szCs w:val="22"/>
              </w:rPr>
              <w:t>赵敏</w:t>
            </w:r>
            <w:r>
              <w:rPr>
                <w:rFonts w:hint="eastAsia" w:ascii="仿宋_GB2312" w:eastAsia="仿宋_GB2312" w:cs="仿宋_GB2312"/>
                <w:color w:val="333333"/>
                <w:sz w:val="22"/>
                <w:szCs w:val="22"/>
              </w:rPr>
              <w:t>，安信证券股份有限公司首席风险官</w:t>
            </w:r>
          </w:p>
          <w:p>
            <w:pPr>
              <w:pStyle w:val="6"/>
              <w:keepNext w:val="0"/>
              <w:keepLines w:val="0"/>
              <w:pageBreakBefore w:val="0"/>
              <w:widowControl/>
              <w:suppressLineNumbers w:val="0"/>
              <w:kinsoku/>
              <w:wordWrap/>
              <w:overflowPunct/>
              <w:topLinePunct w:val="0"/>
              <w:autoSpaceDE/>
              <w:autoSpaceDN/>
              <w:bidi w:val="0"/>
              <w:adjustRightInd/>
              <w:snapToGrid/>
              <w:spacing w:line="240" w:lineRule="exact"/>
              <w:textAlignment w:val="auto"/>
              <w:rPr>
                <w:sz w:val="22"/>
                <w:szCs w:val="21"/>
              </w:rPr>
            </w:pPr>
            <w:r>
              <w:rPr>
                <w:rFonts w:hint="eastAsia" w:ascii="黑体" w:hAnsi="宋体" w:eastAsia="黑体" w:cs="黑体"/>
                <w:color w:val="333333"/>
                <w:sz w:val="22"/>
                <w:szCs w:val="22"/>
              </w:rPr>
              <w:t>方凌</w:t>
            </w:r>
            <w:r>
              <w:rPr>
                <w:rFonts w:hint="eastAsia" w:ascii="仿宋_GB2312" w:eastAsia="仿宋_GB2312" w:cs="仿宋_GB2312"/>
                <w:color w:val="333333"/>
                <w:sz w:val="22"/>
                <w:szCs w:val="22"/>
              </w:rPr>
              <w:t>，招银理财有限责任公司首席风险官</w:t>
            </w:r>
          </w:p>
          <w:p>
            <w:pPr>
              <w:pStyle w:val="6"/>
              <w:keepNext w:val="0"/>
              <w:keepLines w:val="0"/>
              <w:pageBreakBefore w:val="0"/>
              <w:widowControl/>
              <w:suppressLineNumbers w:val="0"/>
              <w:kinsoku/>
              <w:wordWrap/>
              <w:overflowPunct/>
              <w:topLinePunct w:val="0"/>
              <w:autoSpaceDE/>
              <w:autoSpaceDN/>
              <w:bidi w:val="0"/>
              <w:adjustRightInd/>
              <w:snapToGrid/>
              <w:spacing w:line="240" w:lineRule="exact"/>
              <w:textAlignment w:val="auto"/>
              <w:rPr>
                <w:sz w:val="22"/>
                <w:szCs w:val="21"/>
              </w:rPr>
            </w:pPr>
            <w:r>
              <w:rPr>
                <w:rFonts w:hint="eastAsia" w:ascii="黑体" w:hAnsi="宋体" w:eastAsia="黑体" w:cs="黑体"/>
                <w:color w:val="333333"/>
                <w:sz w:val="22"/>
                <w:szCs w:val="22"/>
              </w:rPr>
              <w:t>许克平</w:t>
            </w:r>
            <w:r>
              <w:rPr>
                <w:rFonts w:hint="eastAsia" w:ascii="仿宋_GB2312" w:eastAsia="仿宋_GB2312" w:cs="仿宋_GB2312"/>
                <w:color w:val="333333"/>
                <w:sz w:val="22"/>
                <w:szCs w:val="22"/>
              </w:rPr>
              <w:t>，中国平安财产保险股份有限公司稽核监察部负责人</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_GB2312" w:hAnsi="仿宋_GB2312" w:eastAsia="仿宋_GB2312" w:cs="仿宋_GB2312"/>
          <w:b w:val="0"/>
          <w:bCs w:val="0"/>
          <w:color w:val="333333"/>
          <w:kern w:val="0"/>
          <w:sz w:val="24"/>
          <w:szCs w:val="24"/>
          <w:shd w:val="clear" w:color="auto" w:fill="FFFFFF"/>
          <w:lang w:val="en-US" w:eastAsia="zh-CN" w:bidi="ar-SA"/>
        </w:rPr>
      </w:pPr>
      <w:r>
        <w:rPr>
          <w:rFonts w:hint="eastAsia" w:ascii="仿宋_GB2312" w:hAnsi="仿宋_GB2312" w:eastAsia="仿宋_GB2312" w:cs="仿宋_GB2312"/>
          <w:b w:val="0"/>
          <w:bCs w:val="0"/>
          <w:color w:val="333333"/>
          <w:kern w:val="0"/>
          <w:sz w:val="24"/>
          <w:szCs w:val="24"/>
          <w:shd w:val="clear" w:color="auto" w:fill="FFFFFF"/>
          <w:lang w:val="en-US" w:eastAsia="zh-CN" w:bidi="ar-SA"/>
        </w:rPr>
        <w:t>（</w:t>
      </w:r>
      <w:r>
        <w:rPr>
          <w:rFonts w:hint="default" w:ascii="仿宋_GB2312" w:hAnsi="仿宋_GB2312" w:eastAsia="仿宋_GB2312" w:cs="仿宋_GB2312"/>
          <w:b w:val="0"/>
          <w:bCs w:val="0"/>
          <w:color w:val="333333"/>
          <w:kern w:val="0"/>
          <w:sz w:val="24"/>
          <w:szCs w:val="24"/>
          <w:shd w:val="clear" w:color="auto" w:fill="FFFFFF"/>
          <w:lang w:val="en-US" w:eastAsia="zh-CN" w:bidi="ar-SA"/>
        </w:rPr>
        <w:t>备注：课程内容、师资安排可能会根据市地方金融管理局和学员要求进行调整优化，以研究院最终的课程安排为准。</w:t>
      </w:r>
      <w:r>
        <w:rPr>
          <w:rFonts w:hint="eastAsia" w:ascii="仿宋_GB2312" w:hAnsi="仿宋_GB2312" w:eastAsia="仿宋_GB2312" w:cs="仿宋_GB2312"/>
          <w:b w:val="0"/>
          <w:bCs w:val="0"/>
          <w:color w:val="333333"/>
          <w:kern w:val="0"/>
          <w:sz w:val="24"/>
          <w:szCs w:val="24"/>
          <w:shd w:val="clear" w:color="auto" w:fill="FFFFFF"/>
          <w:lang w:val="en-US" w:eastAsia="zh-CN" w:bidi="ar-SA"/>
        </w:rPr>
        <w:t>）</w:t>
      </w: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三、课程学时及时间安排</w:t>
      </w:r>
    </w:p>
    <w:tbl>
      <w:tblPr>
        <w:tblStyle w:val="7"/>
        <w:tblW w:w="10350" w:type="dxa"/>
        <w:tblInd w:w="-879" w:type="dxa"/>
        <w:tblLayout w:type="autofit"/>
        <w:tblCellMar>
          <w:top w:w="0" w:type="dxa"/>
          <w:left w:w="108" w:type="dxa"/>
          <w:bottom w:w="0" w:type="dxa"/>
          <w:right w:w="108" w:type="dxa"/>
        </w:tblCellMar>
      </w:tblPr>
      <w:tblGrid>
        <w:gridCol w:w="1165"/>
        <w:gridCol w:w="877"/>
        <w:gridCol w:w="4316"/>
        <w:gridCol w:w="1788"/>
        <w:gridCol w:w="2204"/>
      </w:tblGrid>
      <w:tr>
        <w:tblPrEx>
          <w:tblCellMar>
            <w:top w:w="0" w:type="dxa"/>
            <w:left w:w="108" w:type="dxa"/>
            <w:bottom w:w="0" w:type="dxa"/>
            <w:right w:w="108" w:type="dxa"/>
          </w:tblCellMar>
        </w:tblPrEx>
        <w:trPr>
          <w:trHeight w:val="488" w:hRule="atLeast"/>
        </w:trPr>
        <w:tc>
          <w:tcPr>
            <w:tcW w:w="1165" w:type="dxa"/>
            <w:tcBorders>
              <w:top w:val="single" w:color="auto" w:sz="8" w:space="0"/>
              <w:left w:val="single" w:color="auto" w:sz="8" w:space="0"/>
              <w:bottom w:val="nil"/>
              <w:right w:val="single" w:color="auto" w:sz="4"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课次</w:t>
            </w:r>
          </w:p>
        </w:tc>
        <w:tc>
          <w:tcPr>
            <w:tcW w:w="877" w:type="dxa"/>
            <w:tcBorders>
              <w:top w:val="single" w:color="auto" w:sz="8" w:space="0"/>
              <w:left w:val="nil"/>
              <w:bottom w:val="nil"/>
              <w:right w:val="nil"/>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序号</w:t>
            </w:r>
          </w:p>
        </w:tc>
        <w:tc>
          <w:tcPr>
            <w:tcW w:w="4316" w:type="dxa"/>
            <w:tcBorders>
              <w:top w:val="single" w:color="auto" w:sz="8" w:space="0"/>
              <w:left w:val="single" w:color="auto" w:sz="8" w:space="0"/>
              <w:bottom w:val="nil"/>
              <w:right w:val="single" w:color="auto" w:sz="8"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课</w:t>
            </w:r>
            <w:r>
              <w:rPr>
                <w:rFonts w:hint="eastAsia" w:ascii="黑体" w:hAnsi="黑体" w:eastAsia="黑体" w:cs="宋体"/>
                <w:color w:val="FFFFFF" w:themeColor="background1"/>
                <w:kern w:val="0"/>
                <w:sz w:val="28"/>
                <w:szCs w:val="28"/>
                <w:lang w:val="en-US" w:eastAsia="zh-CN"/>
                <w14:textFill>
                  <w14:solidFill>
                    <w14:schemeClr w14:val="bg1"/>
                  </w14:solidFill>
                </w14:textFill>
              </w:rPr>
              <w:t xml:space="preserve">  </w:t>
            </w:r>
            <w:r>
              <w:rPr>
                <w:rFonts w:hint="eastAsia" w:ascii="黑体" w:hAnsi="黑体" w:eastAsia="黑体" w:cs="宋体"/>
                <w:color w:val="FFFFFF" w:themeColor="background1"/>
                <w:kern w:val="0"/>
                <w:sz w:val="28"/>
                <w:szCs w:val="28"/>
                <w14:textFill>
                  <w14:solidFill>
                    <w14:schemeClr w14:val="bg1"/>
                  </w14:solidFill>
                </w14:textFill>
              </w:rPr>
              <w:t>程</w:t>
            </w:r>
          </w:p>
        </w:tc>
        <w:tc>
          <w:tcPr>
            <w:tcW w:w="1788" w:type="dxa"/>
            <w:tcBorders>
              <w:top w:val="single" w:color="auto" w:sz="8" w:space="0"/>
              <w:left w:val="nil"/>
              <w:bottom w:val="nil"/>
              <w:right w:val="single" w:color="auto" w:sz="4"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讲师&amp;嘉宾</w:t>
            </w:r>
          </w:p>
        </w:tc>
        <w:tc>
          <w:tcPr>
            <w:tcW w:w="2204" w:type="dxa"/>
            <w:tcBorders>
              <w:top w:val="single" w:color="auto" w:sz="8" w:space="0"/>
              <w:left w:val="nil"/>
              <w:bottom w:val="nil"/>
              <w:right w:val="single" w:color="auto" w:sz="8"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授课时间</w:t>
            </w:r>
          </w:p>
        </w:tc>
      </w:tr>
      <w:tr>
        <w:tblPrEx>
          <w:tblCellMar>
            <w:top w:w="0" w:type="dxa"/>
            <w:left w:w="108" w:type="dxa"/>
            <w:bottom w:w="0" w:type="dxa"/>
            <w:right w:w="108" w:type="dxa"/>
          </w:tblCellMar>
        </w:tblPrEx>
        <w:trPr>
          <w:trHeight w:val="539" w:hRule="atLeast"/>
        </w:trPr>
        <w:tc>
          <w:tcPr>
            <w:tcW w:w="1165"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第一</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次课</w:t>
            </w:r>
          </w:p>
        </w:tc>
        <w:tc>
          <w:tcPr>
            <w:tcW w:w="877" w:type="dxa"/>
            <w:tcBorders>
              <w:top w:val="single" w:color="auto" w:sz="8" w:space="0"/>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4316"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中国金融监管演进及未来方向</w:t>
            </w:r>
          </w:p>
        </w:tc>
        <w:tc>
          <w:tcPr>
            <w:tcW w:w="178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于学军</w:t>
            </w:r>
          </w:p>
        </w:tc>
        <w:tc>
          <w:tcPr>
            <w:tcW w:w="220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91"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防范化解系统性金融风险背景下银行业的监管创新</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陈飞鸿</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39"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转型与增长：当前宏观形势分析</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 xml:space="preserve">唐 </w:t>
            </w:r>
            <w:r>
              <w:rPr>
                <w:rFonts w:ascii="仿宋_GB2312" w:hAnsi="等线" w:eastAsia="仿宋_GB2312" w:cs="宋体"/>
                <w:color w:val="000000"/>
                <w:kern w:val="0"/>
                <w:sz w:val="24"/>
              </w:rPr>
              <w:t xml:space="preserve"> </w:t>
            </w:r>
            <w:r>
              <w:rPr>
                <w:rFonts w:hint="eastAsia" w:ascii="仿宋_GB2312" w:hAnsi="等线" w:eastAsia="仿宋_GB2312" w:cs="宋体"/>
                <w:color w:val="000000"/>
                <w:kern w:val="0"/>
                <w:sz w:val="24"/>
              </w:rPr>
              <w:t>杰</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97"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431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全面注册制下的监管与证券行业高质量发展</w:t>
            </w:r>
          </w:p>
        </w:tc>
        <w:tc>
          <w:tcPr>
            <w:tcW w:w="178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 xml:space="preserve">陈 </w:t>
            </w:r>
            <w:r>
              <w:rPr>
                <w:rFonts w:ascii="仿宋_GB2312" w:hAnsi="等线" w:eastAsia="仿宋_GB2312" w:cs="宋体"/>
                <w:color w:val="000000"/>
                <w:kern w:val="0"/>
                <w:sz w:val="24"/>
              </w:rPr>
              <w:t xml:space="preserve"> </w:t>
            </w:r>
            <w:r>
              <w:rPr>
                <w:rFonts w:hint="eastAsia" w:ascii="仿宋_GB2312" w:hAnsi="等线" w:eastAsia="仿宋_GB2312" w:cs="宋体"/>
                <w:color w:val="000000"/>
                <w:kern w:val="0"/>
                <w:sz w:val="24"/>
              </w:rPr>
              <w:t>剑</w:t>
            </w:r>
          </w:p>
        </w:tc>
        <w:tc>
          <w:tcPr>
            <w:tcW w:w="2204"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39" w:hRule="atLeast"/>
        </w:trPr>
        <w:tc>
          <w:tcPr>
            <w:tcW w:w="1165" w:type="dxa"/>
            <w:vMerge w:val="restart"/>
            <w:tcBorders>
              <w:top w:val="nil"/>
              <w:left w:val="single" w:color="auto" w:sz="8" w:space="0"/>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第二</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次课</w:t>
            </w: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深圳金融“十四五”规划解读</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盛杨怿</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39" w:hRule="atLeast"/>
        </w:trPr>
        <w:tc>
          <w:tcPr>
            <w:tcW w:w="1165"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“偿二代”新规及对保险监管的影响</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 xml:space="preserve">陈 </w:t>
            </w:r>
            <w:r>
              <w:rPr>
                <w:rFonts w:ascii="仿宋_GB2312" w:hAnsi="等线" w:eastAsia="仿宋_GB2312" w:cs="宋体"/>
                <w:color w:val="000000"/>
                <w:kern w:val="0"/>
                <w:sz w:val="24"/>
              </w:rPr>
              <w:t xml:space="preserve"> </w:t>
            </w:r>
            <w:r>
              <w:rPr>
                <w:rFonts w:hint="eastAsia" w:ascii="仿宋_GB2312" w:hAnsi="等线" w:eastAsia="仿宋_GB2312" w:cs="宋体"/>
                <w:color w:val="000000"/>
                <w:kern w:val="0"/>
                <w:sz w:val="24"/>
              </w:rPr>
              <w:t>风</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91" w:hRule="atLeast"/>
        </w:trPr>
        <w:tc>
          <w:tcPr>
            <w:tcW w:w="1165"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金融创新与跨境开放背景下深圳金融体系的风险与监管应对</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冯子兴</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1188" w:hRule="atLeast"/>
        </w:trPr>
        <w:tc>
          <w:tcPr>
            <w:tcW w:w="1165"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nil"/>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4316" w:type="dxa"/>
            <w:tcBorders>
              <w:top w:val="nil"/>
              <w:left w:val="single" w:color="auto" w:sz="8" w:space="0"/>
              <w:bottom w:val="nil"/>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构建金融监管新秩序——市场视角</w:t>
            </w:r>
          </w:p>
        </w:tc>
        <w:tc>
          <w:tcPr>
            <w:tcW w:w="1788" w:type="dxa"/>
            <w:tcBorders>
              <w:top w:val="nil"/>
              <w:left w:val="nil"/>
              <w:bottom w:val="nil"/>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主持人/王丛；</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嘉宾/李一平</w:t>
            </w:r>
            <w:r>
              <w:rPr>
                <w:rFonts w:hint="eastAsia" w:ascii="仿宋_GB2312" w:hAnsi="等线" w:eastAsia="仿宋_GB2312" w:cs="宋体"/>
                <w:color w:val="000000"/>
                <w:kern w:val="0"/>
                <w:sz w:val="24"/>
                <w:lang w:eastAsia="zh-CN"/>
              </w:rPr>
              <w:t>、</w:t>
            </w:r>
            <w:r>
              <w:rPr>
                <w:rFonts w:hint="eastAsia" w:ascii="仿宋_GB2312" w:hAnsi="等线" w:eastAsia="仿宋_GB2312" w:cs="宋体"/>
                <w:color w:val="000000"/>
                <w:kern w:val="0"/>
                <w:sz w:val="24"/>
              </w:rPr>
              <w:t>赵敏、方凌、许克平、</w:t>
            </w:r>
          </w:p>
        </w:tc>
        <w:tc>
          <w:tcPr>
            <w:tcW w:w="2204" w:type="dxa"/>
            <w:tcBorders>
              <w:top w:val="nil"/>
              <w:left w:val="nil"/>
              <w:bottom w:val="nil"/>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39" w:hRule="atLeast"/>
        </w:trPr>
        <w:tc>
          <w:tcPr>
            <w:tcW w:w="1165"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第三</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次课</w:t>
            </w:r>
          </w:p>
        </w:tc>
        <w:tc>
          <w:tcPr>
            <w:tcW w:w="877" w:type="dxa"/>
            <w:tcBorders>
              <w:top w:val="single" w:color="auto" w:sz="8" w:space="0"/>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4316"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地方金融机构监管创新与发展</w:t>
            </w:r>
          </w:p>
        </w:tc>
        <w:tc>
          <w:tcPr>
            <w:tcW w:w="178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王新东</w:t>
            </w:r>
          </w:p>
        </w:tc>
        <w:tc>
          <w:tcPr>
            <w:tcW w:w="220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39"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监管科技的技术发展与应用</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喻华丽</w:t>
            </w:r>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39"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4316"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金融风险监测预警与监管科技实践—以腾讯和监管科技生态倡议为例</w:t>
            </w:r>
          </w:p>
        </w:tc>
        <w:tc>
          <w:tcPr>
            <w:tcW w:w="17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杜明灯</w:t>
            </w:r>
            <w:bookmarkStart w:id="9" w:name="_GoBack"/>
            <w:bookmarkEnd w:id="9"/>
          </w:p>
        </w:tc>
        <w:tc>
          <w:tcPr>
            <w:tcW w:w="2204"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46" w:hRule="atLeast"/>
        </w:trPr>
        <w:tc>
          <w:tcPr>
            <w:tcW w:w="1165"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877" w:type="dxa"/>
            <w:tcBorders>
              <w:top w:val="nil"/>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431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不同业务模块合规经验分享交流</w:t>
            </w:r>
          </w:p>
        </w:tc>
        <w:tc>
          <w:tcPr>
            <w:tcW w:w="178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本期学员</w:t>
            </w:r>
          </w:p>
        </w:tc>
        <w:tc>
          <w:tcPr>
            <w:tcW w:w="2204"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482" w:hRule="atLeast"/>
        </w:trPr>
        <w:tc>
          <w:tcPr>
            <w:tcW w:w="1165" w:type="dxa"/>
            <w:tcBorders>
              <w:top w:val="nil"/>
              <w:left w:val="single" w:color="auto" w:sz="8" w:space="0"/>
              <w:bottom w:val="nil"/>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团建</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活动</w:t>
            </w:r>
          </w:p>
        </w:tc>
        <w:tc>
          <w:tcPr>
            <w:tcW w:w="877" w:type="dxa"/>
            <w:tcBorders>
              <w:top w:val="nil"/>
              <w:left w:val="nil"/>
              <w:bottom w:val="nil"/>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4316" w:type="dxa"/>
            <w:tcBorders>
              <w:top w:val="nil"/>
              <w:left w:val="single" w:color="auto" w:sz="8" w:space="0"/>
              <w:bottom w:val="nil"/>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旱地冰壶/皮划艇竞赛</w:t>
            </w:r>
          </w:p>
        </w:tc>
        <w:tc>
          <w:tcPr>
            <w:tcW w:w="1788"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仿宋_GB2312" w:hAnsi="等线" w:eastAsia="仿宋_GB2312" w:cs="宋体"/>
                <w:color w:val="000000"/>
                <w:kern w:val="0"/>
                <w:sz w:val="24"/>
              </w:rPr>
              <w:t>本期学员</w:t>
            </w:r>
          </w:p>
        </w:tc>
        <w:tc>
          <w:tcPr>
            <w:tcW w:w="2204" w:type="dxa"/>
            <w:tcBorders>
              <w:top w:val="nil"/>
              <w:left w:val="nil"/>
              <w:bottom w:val="nil"/>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半天</w:t>
            </w:r>
          </w:p>
        </w:tc>
      </w:tr>
      <w:tr>
        <w:tblPrEx>
          <w:tblCellMar>
            <w:top w:w="0" w:type="dxa"/>
            <w:left w:w="108" w:type="dxa"/>
            <w:bottom w:w="0" w:type="dxa"/>
            <w:right w:w="108" w:type="dxa"/>
          </w:tblCellMar>
        </w:tblPrEx>
        <w:trPr>
          <w:trHeight w:val="597" w:hRule="atLeast"/>
        </w:trPr>
        <w:tc>
          <w:tcPr>
            <w:tcW w:w="1165"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企业</w:t>
            </w:r>
          </w:p>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参访</w:t>
            </w:r>
          </w:p>
        </w:tc>
        <w:tc>
          <w:tcPr>
            <w:tcW w:w="877" w:type="dxa"/>
            <w:tcBorders>
              <w:top w:val="single" w:color="auto" w:sz="8" w:space="0"/>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43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鹏程实验室</w:t>
            </w:r>
          </w:p>
        </w:tc>
        <w:tc>
          <w:tcPr>
            <w:tcW w:w="1788"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实验室相关负责人</w:t>
            </w:r>
          </w:p>
        </w:tc>
        <w:tc>
          <w:tcPr>
            <w:tcW w:w="220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半天</w:t>
            </w:r>
          </w:p>
        </w:tc>
      </w:tr>
    </w:tbl>
    <w:p>
      <w:pPr>
        <w:jc w:val="both"/>
        <w:rPr>
          <w:rFonts w:hint="eastAsia"/>
          <w:lang w:val="en-US" w:eastAsia="zh-CN"/>
        </w:rPr>
      </w:pPr>
      <w:r>
        <w:rPr>
          <w:rFonts w:hint="eastAsia"/>
          <w:lang w:val="en-US" w:eastAsia="zh-CN"/>
        </w:rPr>
        <w:t>（备注</w:t>
      </w:r>
      <w:r>
        <w:rPr>
          <w:rFonts w:hint="eastAsia" w:ascii="楷体" w:hAnsi="楷体" w:eastAsia="楷体"/>
          <w:sz w:val="24"/>
        </w:rPr>
        <w:t>：上述时间安排为计划安排，实际授课会根据讲师及课程的实际执行进行调整，但基本保证周末时间上课。</w:t>
      </w:r>
      <w:r>
        <w:rPr>
          <w:rFonts w:hint="eastAsia"/>
          <w:lang w:val="en-US" w:eastAsia="zh-CN"/>
        </w:rPr>
        <w:t>）</w:t>
      </w:r>
    </w:p>
    <w:p>
      <w:pPr>
        <w:pStyle w:val="2"/>
        <w:numPr>
          <w:ilvl w:val="0"/>
          <w:numId w:val="0"/>
        </w:numPr>
        <w:ind w:leftChars="0"/>
        <w:rPr>
          <w:rFonts w:hint="eastAsia"/>
          <w:lang w:val="en-US" w:eastAsia="zh-CN"/>
        </w:rPr>
      </w:pPr>
    </w:p>
    <w:p>
      <w:pPr>
        <w:ind w:firstLine="640" w:firstLineChars="200"/>
        <w:jc w:val="both"/>
        <w:rPr>
          <w:rFonts w:hint="default" w:ascii="黑体" w:hAnsi="黑体" w:eastAsia="黑体" w:cstheme="minorBidi"/>
          <w:b w:val="0"/>
          <w:bCs w:val="0"/>
          <w:color w:val="auto"/>
          <w:kern w:val="2"/>
          <w:sz w:val="32"/>
          <w:szCs w:val="32"/>
          <w:lang w:val="en-US" w:eastAsia="zh-CN" w:bidi="ar-SA"/>
        </w:rPr>
      </w:pPr>
      <w:r>
        <w:rPr>
          <w:rFonts w:hint="eastAsia" w:ascii="黑体" w:hAnsi="黑体" w:eastAsia="黑体" w:cstheme="minorBidi"/>
          <w:b w:val="0"/>
          <w:bCs w:val="0"/>
          <w:color w:val="auto"/>
          <w:kern w:val="2"/>
          <w:sz w:val="32"/>
          <w:szCs w:val="32"/>
          <w:lang w:val="en-US" w:eastAsia="zh-CN" w:bidi="ar-SA"/>
        </w:rPr>
        <w:t>四、项目团队负责人及核心成员简介</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研究</w:t>
      </w:r>
      <w:r>
        <w:rPr>
          <w:rFonts w:hint="eastAsia" w:ascii="仿宋_GB2312" w:hAnsi="仿宋" w:eastAsia="仿宋_GB2312"/>
          <w:sz w:val="32"/>
          <w:szCs w:val="32"/>
        </w:rPr>
        <w:t>院将对骨干人才研修班实行项目化的管理，组建专业的项目团队，研究院分管</w:t>
      </w:r>
      <w:r>
        <w:rPr>
          <w:rFonts w:hint="eastAsia" w:ascii="仿宋_GB2312" w:hAnsi="仿宋" w:eastAsia="仿宋_GB2312"/>
          <w:sz w:val="32"/>
          <w:szCs w:val="32"/>
          <w:lang w:val="en-US" w:eastAsia="zh-CN"/>
        </w:rPr>
        <w:t>局</w:t>
      </w:r>
      <w:r>
        <w:rPr>
          <w:rFonts w:hint="eastAsia" w:ascii="仿宋_GB2312" w:hAnsi="仿宋" w:eastAsia="仿宋_GB2312"/>
          <w:sz w:val="32"/>
          <w:szCs w:val="32"/>
        </w:rPr>
        <w:t>领导为项目领导小组组长，负责为项目组协调资源及提供必要支持；院长助理亲自担任项目领导小组副组长兼执行小组组长；另外配</w:t>
      </w:r>
      <w:r>
        <w:rPr>
          <w:rFonts w:hint="eastAsia" w:ascii="仿宋_GB2312" w:hAnsi="仿宋" w:eastAsia="仿宋_GB2312"/>
          <w:sz w:val="32"/>
          <w:szCs w:val="32"/>
          <w:lang w:val="en-US" w:eastAsia="zh-CN"/>
        </w:rPr>
        <w:t>2</w:t>
      </w:r>
      <w:r>
        <w:rPr>
          <w:rFonts w:hint="eastAsia" w:ascii="仿宋_GB2312" w:hAnsi="仿宋" w:eastAsia="仿宋_GB2312"/>
          <w:sz w:val="32"/>
          <w:szCs w:val="32"/>
        </w:rPr>
        <w:t>名专职工作人员为项目组成员</w:t>
      </w:r>
      <w:r>
        <w:rPr>
          <w:rFonts w:hint="eastAsia" w:ascii="仿宋_GB2312" w:hAnsi="仿宋" w:eastAsia="仿宋_GB2312"/>
          <w:sz w:val="32"/>
          <w:szCs w:val="32"/>
          <w:lang w:val="en-US" w:eastAsia="zh-CN"/>
        </w:rPr>
        <w:t>以及若干培训服务人员</w:t>
      </w:r>
      <w:r>
        <w:rPr>
          <w:rFonts w:hint="eastAsia" w:ascii="仿宋_GB2312" w:hAnsi="仿宋" w:eastAsia="仿宋_GB2312"/>
          <w:sz w:val="32"/>
          <w:szCs w:val="32"/>
        </w:rPr>
        <w:t>。项目团队结构及主要成员介绍如下：</w:t>
      </w:r>
    </w:p>
    <w:p>
      <w:pPr>
        <w:pStyle w:val="3"/>
        <w:keepNext w:val="0"/>
        <w:keepLines w:val="0"/>
        <w:pageBreakBefore w:val="0"/>
        <w:widowControl/>
        <w:kinsoku/>
        <w:wordWrap/>
        <w:overflowPunct/>
        <w:topLinePunct w:val="0"/>
        <w:autoSpaceDE/>
        <w:autoSpaceDN/>
        <w:bidi w:val="0"/>
        <w:adjustRightInd/>
        <w:snapToGrid/>
        <w:textAlignment w:val="auto"/>
        <w:rPr>
          <w:rFonts w:hint="eastAsia" w:ascii="楷体_GB2312" w:hAnsi="楷体_GB2312" w:eastAsia="楷体_GB2312" w:cs="楷体_GB2312"/>
          <w:b w:val="0"/>
          <w:bCs w:val="0"/>
          <w:sz w:val="32"/>
          <w:szCs w:val="32"/>
        </w:rPr>
      </w:pPr>
      <w:bookmarkStart w:id="0" w:name="_Toc80007038"/>
      <w:bookmarkStart w:id="1" w:name="_Toc80006163"/>
      <w:r>
        <w:rPr>
          <w:rFonts w:hint="eastAsia" w:ascii="楷体_GB2312" w:hAnsi="楷体_GB2312" w:eastAsia="楷体_GB2312" w:cs="楷体_GB2312"/>
          <w:b w:val="0"/>
          <w:bCs w:val="0"/>
          <w:sz w:val="32"/>
          <w:szCs w:val="32"/>
        </w:rPr>
        <w:t>（一）</w:t>
      </w:r>
      <w:bookmarkStart w:id="2" w:name="_Hlk48307115"/>
      <w:r>
        <w:rPr>
          <w:rFonts w:hint="eastAsia" w:ascii="楷体_GB2312" w:hAnsi="楷体_GB2312" w:eastAsia="楷体_GB2312" w:cs="楷体_GB2312"/>
          <w:b w:val="0"/>
          <w:bCs w:val="0"/>
          <w:sz w:val="32"/>
          <w:szCs w:val="32"/>
        </w:rPr>
        <w:t>项目领导小组组长</w:t>
      </w:r>
      <w:bookmarkEnd w:id="2"/>
      <w:r>
        <w:rPr>
          <w:rFonts w:hint="eastAsia" w:ascii="楷体_GB2312" w:hAnsi="楷体_GB2312" w:eastAsia="楷体_GB2312" w:cs="楷体_GB2312"/>
          <w:b w:val="0"/>
          <w:bCs w:val="0"/>
          <w:sz w:val="32"/>
          <w:szCs w:val="32"/>
        </w:rPr>
        <w:t>：赖群阳</w:t>
      </w:r>
      <w:bookmarkEnd w:id="0"/>
      <w:bookmarkEnd w:id="1"/>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赖群阳：深圳市地方金融监督管理局（深圳市人民政府金融工作办公室）党组成员、深圳市新兴金融行业党委专职书记。负责全市新兴金融行业党委工作，分管深圳市金融稳定发展研究院。</w:t>
      </w:r>
    </w:p>
    <w:p>
      <w:pPr>
        <w:pStyle w:val="3"/>
        <w:keepNext w:val="0"/>
        <w:keepLines w:val="0"/>
        <w:pageBreakBefore w:val="0"/>
        <w:widowControl/>
        <w:kinsoku/>
        <w:wordWrap/>
        <w:overflowPunct/>
        <w:topLinePunct w:val="0"/>
        <w:autoSpaceDE/>
        <w:autoSpaceDN/>
        <w:bidi w:val="0"/>
        <w:adjustRightInd/>
        <w:snapToGrid/>
        <w:textAlignment w:val="auto"/>
        <w:rPr>
          <w:rFonts w:hint="eastAsia" w:ascii="楷体_GB2312" w:hAnsi="楷体_GB2312" w:eastAsia="楷体_GB2312" w:cs="楷体_GB2312"/>
          <w:b w:val="0"/>
          <w:bCs w:val="0"/>
          <w:sz w:val="32"/>
          <w:szCs w:val="32"/>
        </w:rPr>
      </w:pPr>
      <w:bookmarkStart w:id="3" w:name="_Toc80007039"/>
      <w:bookmarkStart w:id="4" w:name="_Toc80006164"/>
      <w:r>
        <w:rPr>
          <w:rFonts w:hint="eastAsia" w:ascii="楷体_GB2312" w:hAnsi="楷体_GB2312" w:eastAsia="楷体_GB2312" w:cs="楷体_GB2312"/>
          <w:b w:val="0"/>
          <w:bCs w:val="0"/>
          <w:sz w:val="32"/>
          <w:szCs w:val="32"/>
        </w:rPr>
        <w:t>（二）项目领导小组副组长：田洪昌</w:t>
      </w:r>
      <w:bookmarkEnd w:id="3"/>
      <w:bookmarkEnd w:id="4"/>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田洪昌：现任深圳市金融稳定发展研究院院长助理、法人代表，副研究员。中国法学会会员，深圳市法律专家库首批入库专家。兰州大学经济法学专业法学硕士、兰州大学民族理论与法制专业法学博士。曾任深圳市龙岗区委政法委依法治区工作室主任；20</w:t>
      </w:r>
      <w:r>
        <w:rPr>
          <w:rFonts w:ascii="仿宋_GB2312" w:hAnsi="仿宋" w:eastAsia="仿宋_GB2312"/>
          <w:bCs/>
          <w:sz w:val="32"/>
          <w:szCs w:val="32"/>
        </w:rPr>
        <w:t>10</w:t>
      </w:r>
      <w:r>
        <w:rPr>
          <w:rFonts w:hint="eastAsia" w:ascii="仿宋_GB2312" w:hAnsi="仿宋" w:eastAsia="仿宋_GB2312"/>
          <w:bCs/>
          <w:sz w:val="32"/>
          <w:szCs w:val="32"/>
        </w:rPr>
        <w:t>年7月至2011年8月，任深圳世界大运会执行局大运村办任综合组兼礼宾组高级主任、大运中心游泳馆秘书长。</w:t>
      </w:r>
    </w:p>
    <w:p>
      <w:pPr>
        <w:pStyle w:val="3"/>
        <w:keepNext w:val="0"/>
        <w:keepLines w:val="0"/>
        <w:pageBreakBefore w:val="0"/>
        <w:widowControl/>
        <w:kinsoku/>
        <w:wordWrap/>
        <w:overflowPunct/>
        <w:topLinePunct w:val="0"/>
        <w:autoSpaceDE/>
        <w:autoSpaceDN/>
        <w:bidi w:val="0"/>
        <w:adjustRightInd/>
        <w:snapToGrid/>
        <w:textAlignment w:val="auto"/>
        <w:rPr>
          <w:rFonts w:hint="eastAsia" w:ascii="楷体_GB2312" w:hAnsi="楷体_GB2312" w:eastAsia="楷体_GB2312" w:cs="楷体_GB2312"/>
          <w:b w:val="0"/>
          <w:bCs w:val="0"/>
          <w:sz w:val="32"/>
          <w:szCs w:val="32"/>
        </w:rPr>
      </w:pPr>
      <w:bookmarkStart w:id="5" w:name="_Toc80007040"/>
      <w:bookmarkStart w:id="6" w:name="_Toc80006165"/>
      <w:r>
        <w:rPr>
          <w:rFonts w:hint="eastAsia" w:ascii="楷体_GB2312" w:hAnsi="楷体_GB2312" w:eastAsia="楷体_GB2312" w:cs="楷体_GB2312"/>
          <w:b w:val="0"/>
          <w:bCs w:val="0"/>
          <w:sz w:val="32"/>
          <w:szCs w:val="32"/>
        </w:rPr>
        <w:t>（三）项目领导小组副组长兼执行小组组长：李凯</w:t>
      </w:r>
      <w:bookmarkEnd w:id="5"/>
      <w:bookmarkEnd w:id="6"/>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李凯：现任深圳市金融稳定发展研究院院长助理。曾任深圳市福田区投资推广署（金融发展事务署）副署长、深圳市互联网金融协会副秘书长兼研究部负责人、高盛-浙大-牛津巾帼圆梦万名女性创业能力开发项目效能评估专员。浙江大学计算机科学与技术学士、英国雷丁大学国际管理硕士、浙江大学企业管理博士、深圳证券交易所博士后。</w:t>
      </w:r>
    </w:p>
    <w:p>
      <w:pPr>
        <w:pStyle w:val="3"/>
        <w:keepNext w:val="0"/>
        <w:keepLines w:val="0"/>
        <w:pageBreakBefore w:val="0"/>
        <w:widowControl/>
        <w:kinsoku/>
        <w:wordWrap/>
        <w:overflowPunct/>
        <w:topLinePunct w:val="0"/>
        <w:autoSpaceDE/>
        <w:autoSpaceDN/>
        <w:bidi w:val="0"/>
        <w:adjustRightInd/>
        <w:snapToGrid/>
        <w:textAlignment w:val="auto"/>
        <w:rPr>
          <w:rFonts w:hint="eastAsia" w:ascii="楷体_GB2312" w:hAnsi="楷体_GB2312" w:eastAsia="楷体_GB2312" w:cs="楷体_GB2312"/>
          <w:b w:val="0"/>
          <w:bCs w:val="0"/>
          <w:sz w:val="32"/>
          <w:szCs w:val="32"/>
          <w:lang w:eastAsia="zh-CN"/>
        </w:rPr>
      </w:pPr>
      <w:bookmarkStart w:id="7" w:name="_Toc80007041"/>
      <w:bookmarkStart w:id="8" w:name="_Toc80006166"/>
      <w:r>
        <w:rPr>
          <w:rFonts w:hint="eastAsia" w:ascii="楷体_GB2312" w:hAnsi="楷体_GB2312" w:eastAsia="楷体_GB2312" w:cs="楷体_GB2312"/>
          <w:b w:val="0"/>
          <w:bCs w:val="0"/>
          <w:sz w:val="32"/>
          <w:szCs w:val="32"/>
        </w:rPr>
        <w:t>（四）项目小组成员：</w:t>
      </w:r>
      <w:r>
        <w:rPr>
          <w:rFonts w:hint="eastAsia" w:ascii="楷体_GB2312" w:hAnsi="楷体_GB2312" w:eastAsia="楷体_GB2312" w:cs="楷体_GB2312"/>
          <w:b w:val="0"/>
          <w:bCs w:val="0"/>
          <w:sz w:val="32"/>
          <w:szCs w:val="32"/>
          <w:lang w:val="en-US" w:eastAsia="zh-CN"/>
        </w:rPr>
        <w:t>余臻、</w:t>
      </w:r>
      <w:r>
        <w:rPr>
          <w:rFonts w:hint="eastAsia" w:ascii="楷体_GB2312" w:hAnsi="楷体_GB2312" w:eastAsia="楷体_GB2312" w:cs="楷体_GB2312"/>
          <w:b w:val="0"/>
          <w:bCs w:val="0"/>
          <w:sz w:val="32"/>
          <w:szCs w:val="32"/>
        </w:rPr>
        <w:t>王润苗</w:t>
      </w:r>
      <w:bookmarkEnd w:id="7"/>
      <w:bookmarkEnd w:id="8"/>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尹赫</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1</w:t>
      </w:r>
      <w:r>
        <w:rPr>
          <w:rFonts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余臻：哈尔滨工业大学管理学博士，中山大学岭南（大学）学院博士后。</w:t>
      </w:r>
      <w:r>
        <w:rPr>
          <w:rFonts w:hint="eastAsia" w:ascii="仿宋_GB2312" w:hAnsi="仿宋" w:eastAsia="仿宋_GB2312"/>
          <w:sz w:val="32"/>
          <w:szCs w:val="32"/>
          <w:highlight w:val="none"/>
        </w:rPr>
        <w:t>现任深圳市金融稳定发展研究院</w:t>
      </w:r>
      <w:r>
        <w:rPr>
          <w:rFonts w:hint="eastAsia" w:ascii="仿宋_GB2312" w:hAnsi="仿宋" w:eastAsia="仿宋_GB2312"/>
          <w:sz w:val="32"/>
          <w:szCs w:val="32"/>
          <w:highlight w:val="none"/>
          <w:lang w:val="en-US" w:eastAsia="zh-CN"/>
        </w:rPr>
        <w:t>创新研究部</w:t>
      </w:r>
      <w:r>
        <w:rPr>
          <w:rFonts w:hint="eastAsia" w:ascii="仿宋_GB2312" w:hAnsi="仿宋" w:eastAsia="仿宋_GB2312"/>
          <w:sz w:val="32"/>
          <w:szCs w:val="32"/>
          <w:highlight w:val="none"/>
        </w:rPr>
        <w:t>副总监。</w:t>
      </w:r>
      <w:r>
        <w:rPr>
          <w:rFonts w:hint="eastAsia" w:ascii="仿宋_GB2312" w:hAnsi="仿宋" w:eastAsia="仿宋_GB2312"/>
          <w:sz w:val="32"/>
          <w:szCs w:val="32"/>
          <w:highlight w:val="none"/>
          <w:lang w:val="en-US" w:eastAsia="zh-CN"/>
        </w:rPr>
        <w:t>工作期间，成功申报和主要完成多项课题研究，撰写多篇咨政建言，科研管理能力突出、文字功底深厚。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王润苗：澳大利亚悉尼大学会计和人力资源双硕士。在课程设置，培训组织、学员交流方面有丰富的经验。现任职于深圳市金融稳定发展研究院人才培训部，参与承办2019年、2</w:t>
      </w:r>
      <w:r>
        <w:rPr>
          <w:rFonts w:ascii="仿宋_GB2312" w:hAnsi="仿宋" w:eastAsia="仿宋_GB2312"/>
          <w:sz w:val="32"/>
          <w:szCs w:val="32"/>
        </w:rPr>
        <w:t>020</w:t>
      </w:r>
      <w:r>
        <w:rPr>
          <w:rFonts w:hint="eastAsia" w:ascii="仿宋_GB2312" w:hAnsi="仿宋" w:eastAsia="仿宋_GB2312"/>
          <w:sz w:val="32"/>
          <w:szCs w:val="32"/>
        </w:rPr>
        <w:t>、2</w:t>
      </w:r>
      <w:r>
        <w:rPr>
          <w:rFonts w:ascii="仿宋_GB2312" w:hAnsi="仿宋" w:eastAsia="仿宋_GB2312"/>
          <w:sz w:val="32"/>
          <w:szCs w:val="32"/>
        </w:rPr>
        <w:t>021</w:t>
      </w:r>
      <w:r>
        <w:rPr>
          <w:rFonts w:hint="eastAsia" w:ascii="仿宋_GB2312" w:hAnsi="仿宋" w:eastAsia="仿宋_GB2312"/>
          <w:sz w:val="32"/>
          <w:szCs w:val="32"/>
        </w:rPr>
        <w:t>年深圳市金融领军人才研修班、2020年鹏城金融大讲堂。</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尹赫：美国华盛顿大学传媒学学士、北京大学汇丰商学院工商管理硕士在读，擅长培训项目策划及外部资源拓展等工作。现任职于深圳市金融稳定发展研究院人才培训部。参与承办2021年深圳市金融领军人才研修班</w:t>
      </w:r>
      <w:r>
        <w:rPr>
          <w:rFonts w:hint="eastAsia" w:ascii="仿宋_GB2312" w:hAnsi="仿宋" w:eastAsia="仿宋_GB2312"/>
          <w:sz w:val="32"/>
          <w:szCs w:val="32"/>
          <w:lang w:eastAsia="zh-CN"/>
        </w:rPr>
        <w:t>。</w:t>
      </w:r>
    </w:p>
    <w:p>
      <w:pPr>
        <w:pStyle w:val="2"/>
        <w:keepNext w:val="0"/>
        <w:keepLines w:val="0"/>
        <w:pageBreakBefore w:val="0"/>
        <w:widowControl w:val="0"/>
        <w:numPr>
          <w:ilvl w:val="0"/>
          <w:numId w:val="0"/>
        </w:numPr>
        <w:kinsoku w:val="0"/>
        <w:wordWrap/>
        <w:overflowPunct w:val="0"/>
        <w:topLinePunct w:val="0"/>
        <w:autoSpaceDE/>
        <w:autoSpaceDN/>
        <w:bidi w:val="0"/>
        <w:adjustRightInd/>
        <w:snapToGrid/>
        <w:ind w:leftChars="0"/>
        <w:textAlignment w:val="auto"/>
        <w:rPr>
          <w:rFonts w:hint="eastAsia"/>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keepNext w:val="0"/>
        <w:keepLines w:val="0"/>
        <w:pageBreakBefore w:val="0"/>
        <w:widowControl w:val="0"/>
        <w:numPr>
          <w:ilvl w:val="0"/>
          <w:numId w:val="3"/>
        </w:numPr>
        <w:kinsoku/>
        <w:wordWrap/>
        <w:overflowPunct/>
        <w:topLinePunct w:val="0"/>
        <w:autoSpaceDE/>
        <w:autoSpaceDN/>
        <w:bidi w:val="0"/>
        <w:adjustRightInd/>
        <w:snapToGrid/>
        <w:ind w:left="420" w:leftChars="0" w:right="0" w:rightChars="0" w:hanging="420" w:firstLineChars="0"/>
        <w:jc w:val="center"/>
        <w:textAlignment w:val="auto"/>
        <w:rPr>
          <w:rFonts w:hint="eastAsia" w:ascii="黑体" w:hAnsi="黑体" w:eastAsia="黑体" w:cs="Times New Roman"/>
          <w:b w:val="0"/>
          <w:bCs w:val="0"/>
          <w:color w:val="auto"/>
          <w:kern w:val="2"/>
          <w:sz w:val="36"/>
          <w:szCs w:val="36"/>
          <w:lang w:val="en-US" w:eastAsia="zh-CN" w:bidi="ar-SA"/>
        </w:rPr>
      </w:pPr>
      <w:r>
        <w:rPr>
          <w:rFonts w:hint="eastAsia" w:ascii="黑体" w:hAnsi="黑体" w:eastAsia="黑体" w:cs="Times New Roman"/>
          <w:b w:val="0"/>
          <w:bCs w:val="0"/>
          <w:color w:val="auto"/>
          <w:kern w:val="2"/>
          <w:sz w:val="36"/>
          <w:szCs w:val="36"/>
          <w:lang w:val="en-US" w:eastAsia="zh-CN" w:bidi="ar-SA"/>
        </w:rPr>
        <w:t>第二部分“财富管理”专题研修班（项目二）</w:t>
      </w:r>
    </w:p>
    <w:p>
      <w:pPr>
        <w:spacing w:before="240"/>
        <w:ind w:firstLine="640" w:firstLineChars="200"/>
        <w:rPr>
          <w:rFonts w:ascii="仿宋_GB2312" w:eastAsia="仿宋_GB2312"/>
          <w:b/>
          <w:bCs/>
          <w:sz w:val="28"/>
          <w:szCs w:val="28"/>
        </w:rPr>
      </w:pPr>
      <w:r>
        <w:rPr>
          <w:rFonts w:hint="eastAsia" w:ascii="黑体" w:hAnsi="黑体" w:eastAsia="黑体"/>
          <w:b w:val="0"/>
          <w:bCs w:val="0"/>
          <w:sz w:val="32"/>
          <w:szCs w:val="32"/>
        </w:rPr>
        <w:t>一、项目亮点</w:t>
      </w:r>
    </w:p>
    <w:p>
      <w:pPr>
        <w:spacing w:line="360" w:lineRule="auto"/>
        <w:ind w:firstLine="643" w:firstLineChars="200"/>
        <w:rPr>
          <w:rFonts w:hint="eastAsia" w:ascii="仿宋_GB2312" w:hAnsi="仿宋_GB2312" w:eastAsia="仿宋_GB2312" w:cs="仿宋_GB2312"/>
          <w:b w:val="0"/>
          <w:bCs w:val="0"/>
          <w:color w:val="333333"/>
          <w:kern w:val="0"/>
          <w:sz w:val="32"/>
          <w:szCs w:val="32"/>
          <w:shd w:val="clear" w:color="auto" w:fill="FFFFFF"/>
          <w:lang w:val="en-US" w:eastAsia="zh-CN" w:bidi="ar-SA"/>
        </w:rPr>
      </w:pPr>
      <w:r>
        <w:rPr>
          <w:rFonts w:hint="eastAsia" w:ascii="仿宋_GB2312" w:hAnsi="仿宋_GB2312" w:eastAsia="仿宋_GB2312" w:cs="仿宋_GB2312"/>
          <w:b/>
          <w:bCs/>
          <w:color w:val="333333"/>
          <w:kern w:val="0"/>
          <w:sz w:val="32"/>
          <w:szCs w:val="32"/>
          <w:shd w:val="clear" w:color="auto" w:fill="FFFFFF"/>
          <w:lang w:val="en-US" w:eastAsia="zh-CN"/>
        </w:rPr>
        <w:t>搭建专业师资队伍，打造全方位财富管理体系。</w:t>
      </w:r>
      <w:r>
        <w:rPr>
          <w:rFonts w:hint="eastAsia" w:ascii="仿宋_GB2312" w:hAnsi="仿宋_GB2312" w:eastAsia="仿宋_GB2312" w:cs="仿宋_GB2312"/>
          <w:b w:val="0"/>
          <w:bCs w:val="0"/>
          <w:color w:val="333333"/>
          <w:kern w:val="0"/>
          <w:sz w:val="32"/>
          <w:szCs w:val="32"/>
          <w:shd w:val="clear" w:color="auto" w:fill="FFFFFF"/>
          <w:lang w:val="en-US" w:eastAsia="zh-CN"/>
        </w:rPr>
        <w:t>针对“财富管理”前沿问题，培养符合时代资产逻辑的财富管理能力，组织深入研讨活动，研判实际问题，提升学员降低风险，合理分配资产和收入的能力，实现财富增值。同时，基于前期</w:t>
      </w:r>
      <w:r>
        <w:rPr>
          <w:rFonts w:hint="eastAsia" w:ascii="仿宋_GB2312" w:eastAsia="仿宋_GB2312"/>
          <w:sz w:val="32"/>
          <w:szCs w:val="32"/>
        </w:rPr>
        <w:t>对深圳辖区内八百多家金融机构进行</w:t>
      </w:r>
      <w:r>
        <w:rPr>
          <w:rFonts w:hint="eastAsia" w:ascii="仿宋_GB2312" w:eastAsia="仿宋_GB2312"/>
          <w:sz w:val="32"/>
          <w:szCs w:val="32"/>
          <w:lang w:eastAsia="zh-CN"/>
        </w:rPr>
        <w:t>的</w:t>
      </w:r>
      <w:r>
        <w:rPr>
          <w:rFonts w:hint="eastAsia" w:ascii="仿宋_GB2312" w:eastAsia="仿宋_GB2312"/>
          <w:sz w:val="32"/>
          <w:szCs w:val="32"/>
        </w:rPr>
        <w:t>深度调研</w:t>
      </w:r>
      <w:r>
        <w:rPr>
          <w:rFonts w:hint="eastAsia" w:ascii="仿宋_GB2312" w:eastAsia="仿宋_GB2312"/>
          <w:sz w:val="32"/>
          <w:szCs w:val="32"/>
          <w:lang w:val="en-US" w:eastAsia="zh-CN"/>
        </w:rPr>
        <w:t>及</w:t>
      </w:r>
      <w:r>
        <w:rPr>
          <w:rFonts w:hint="eastAsia" w:ascii="仿宋_GB2312" w:hAnsi="仿宋_GB2312" w:eastAsia="仿宋_GB2312" w:cs="仿宋_GB2312"/>
          <w:sz w:val="32"/>
          <w:szCs w:val="32"/>
        </w:rPr>
        <w:t>800多份有效问卷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研究院对</w:t>
      </w:r>
      <w:r>
        <w:rPr>
          <w:rFonts w:hint="eastAsia" w:ascii="仿宋_GB2312" w:eastAsia="仿宋_GB2312"/>
          <w:sz w:val="32"/>
          <w:szCs w:val="32"/>
        </w:rPr>
        <w:t>全市金融骨干人才的培训需求进行深入理解与积极响应</w:t>
      </w:r>
      <w:r>
        <w:rPr>
          <w:rFonts w:hint="eastAsia" w:ascii="仿宋_GB2312" w:eastAsia="仿宋_GB2312"/>
          <w:sz w:val="32"/>
          <w:szCs w:val="32"/>
          <w:lang w:eastAsia="zh-CN"/>
        </w:rPr>
        <w:t>。</w:t>
      </w:r>
      <w:r>
        <w:rPr>
          <w:rFonts w:hint="eastAsia" w:ascii="仿宋_GB2312" w:eastAsia="仿宋_GB2312"/>
          <w:sz w:val="32"/>
          <w:szCs w:val="32"/>
          <w:lang w:val="en-US" w:eastAsia="zh-CN"/>
        </w:rPr>
        <w:t>本项目</w:t>
      </w:r>
      <w:r>
        <w:rPr>
          <w:rFonts w:hint="eastAsia" w:ascii="仿宋_GB2312" w:hAnsi="仿宋_GB2312" w:eastAsia="仿宋_GB2312" w:cs="仿宋_GB2312"/>
          <w:b w:val="0"/>
          <w:bCs w:val="0"/>
          <w:color w:val="333333"/>
          <w:kern w:val="0"/>
          <w:sz w:val="32"/>
          <w:szCs w:val="32"/>
          <w:shd w:val="clear" w:color="auto" w:fill="FFFFFF"/>
          <w:lang w:val="en-US" w:eastAsia="zh-CN" w:bidi="ar-SA"/>
        </w:rPr>
        <w:t>邀请来自金融监管机构等政府部门的原任或现任主要领导，或国际大型金融机构、产业集团的一线金融、实体企业高管及学界的相关领域的知名专家，搭建多元化、高层次专家师资队伍，打造全面财富管理体系。</w:t>
      </w:r>
    </w:p>
    <w:p>
      <w:pPr>
        <w:spacing w:line="360" w:lineRule="auto"/>
        <w:ind w:firstLine="643" w:firstLineChars="200"/>
        <w:rPr>
          <w:rFonts w:hint="eastAsia" w:ascii="仿宋_GB2312" w:hAnsi="仿宋_GB2312" w:eastAsia="仿宋_GB2312" w:cs="仿宋_GB2312"/>
          <w:b/>
          <w:bCs/>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bidi="ar-SA"/>
        </w:rPr>
        <w:t>注重综合能力培养，立足专业拓宽视野。</w:t>
      </w:r>
      <w:r>
        <w:rPr>
          <w:rFonts w:hint="eastAsia" w:ascii="仿宋_GB2312" w:hAnsi="仿宋_GB2312" w:eastAsia="仿宋_GB2312" w:cs="仿宋_GB2312"/>
          <w:b w:val="0"/>
          <w:bCs w:val="0"/>
          <w:color w:val="333333"/>
          <w:kern w:val="0"/>
          <w:sz w:val="32"/>
          <w:szCs w:val="32"/>
          <w:shd w:val="clear" w:color="auto" w:fill="FFFFFF"/>
          <w:lang w:val="en-US" w:eastAsia="zh-CN" w:bidi="ar-SA"/>
        </w:rPr>
        <w:t>围绕“财富管理”专题方向开展系统学习和交流，并辅助宏观金融经济形势和国家、地区的战略发展规划、政策方针的讲授，帮助学员在提升业务水平基础上以宏观视角拓展工作思路。</w:t>
      </w:r>
    </w:p>
    <w:p>
      <w:pPr>
        <w:spacing w:line="360" w:lineRule="auto"/>
        <w:ind w:firstLine="643" w:firstLineChars="200"/>
        <w:rPr>
          <w:rFonts w:hint="eastAsia"/>
          <w:lang w:eastAsia="zh-CN"/>
        </w:rPr>
      </w:pPr>
      <w:r>
        <w:rPr>
          <w:rFonts w:hint="eastAsia" w:ascii="仿宋_GB2312" w:hAnsi="仿宋_GB2312" w:eastAsia="仿宋_GB2312" w:cs="仿宋_GB2312"/>
          <w:b/>
          <w:bCs/>
          <w:color w:val="333333"/>
          <w:kern w:val="0"/>
          <w:sz w:val="32"/>
          <w:szCs w:val="32"/>
          <w:shd w:val="clear" w:color="auto" w:fill="FFFFFF"/>
          <w:lang w:val="en-US" w:eastAsia="zh-CN" w:bidi="ar-SA"/>
        </w:rPr>
        <w:t>授课结合研讨，搭建交流成长平台</w:t>
      </w:r>
      <w:r>
        <w:rPr>
          <w:rFonts w:hint="eastAsia" w:ascii="仿宋_GB2312" w:hAnsi="仿宋_GB2312" w:eastAsia="仿宋_GB2312" w:cs="仿宋_GB2312"/>
          <w:b w:val="0"/>
          <w:bCs w:val="0"/>
          <w:color w:val="333333"/>
          <w:kern w:val="0"/>
          <w:sz w:val="32"/>
          <w:szCs w:val="32"/>
          <w:shd w:val="clear" w:color="auto" w:fill="FFFFFF"/>
          <w:lang w:val="en-US" w:eastAsia="zh-CN" w:bidi="ar-SA"/>
        </w:rPr>
        <w:t>。研究院已经成功举办2019届、2020届及2021届共3届“深圳市金融领军人才培训”，现已累积“金融领军人才”学员共130余人，与深圳市100余家金融机构维持着密切的合作关系。研究院将充分整合现有的优质资源，链接“金融领军人才”及“金融骨干人才”，组织</w:t>
      </w:r>
      <w:r>
        <w:rPr>
          <w:rFonts w:hint="default" w:ascii="仿宋_GB2312" w:hAnsi="仿宋_GB2312" w:eastAsia="仿宋_GB2312" w:cs="仿宋_GB2312"/>
          <w:b w:val="0"/>
          <w:bCs w:val="0"/>
          <w:color w:val="333333"/>
          <w:kern w:val="0"/>
          <w:sz w:val="32"/>
          <w:szCs w:val="32"/>
          <w:shd w:val="clear" w:color="auto" w:fill="FFFFFF"/>
          <w:lang w:val="en-US" w:eastAsia="zh-CN" w:bidi="ar-SA"/>
        </w:rPr>
        <w:t>形式多样</w:t>
      </w:r>
      <w:r>
        <w:rPr>
          <w:rFonts w:hint="eastAsia" w:ascii="仿宋_GB2312" w:hAnsi="仿宋_GB2312" w:eastAsia="仿宋_GB2312" w:cs="仿宋_GB2312"/>
          <w:b w:val="0"/>
          <w:bCs w:val="0"/>
          <w:color w:val="333333"/>
          <w:kern w:val="0"/>
          <w:sz w:val="32"/>
          <w:szCs w:val="32"/>
          <w:shd w:val="clear" w:color="auto" w:fill="FFFFFF"/>
          <w:lang w:val="en-US" w:eastAsia="zh-CN" w:bidi="ar-SA"/>
        </w:rPr>
        <w:t>的</w:t>
      </w:r>
      <w:r>
        <w:rPr>
          <w:rFonts w:hint="default" w:ascii="仿宋_GB2312" w:hAnsi="仿宋_GB2312" w:eastAsia="仿宋_GB2312" w:cs="仿宋_GB2312"/>
          <w:b w:val="0"/>
          <w:bCs w:val="0"/>
          <w:color w:val="333333"/>
          <w:kern w:val="0"/>
          <w:sz w:val="32"/>
          <w:szCs w:val="32"/>
          <w:shd w:val="clear" w:color="auto" w:fill="FFFFFF"/>
          <w:lang w:val="en-US" w:eastAsia="zh-CN" w:bidi="ar-SA"/>
        </w:rPr>
        <w:t>研讨交流活动</w:t>
      </w:r>
      <w:r>
        <w:rPr>
          <w:rFonts w:hint="eastAsia" w:ascii="仿宋_GB2312" w:hAnsi="仿宋_GB2312" w:eastAsia="仿宋_GB2312" w:cs="仿宋_GB2312"/>
          <w:b w:val="0"/>
          <w:bCs w:val="0"/>
          <w:color w:val="333333"/>
          <w:kern w:val="0"/>
          <w:sz w:val="32"/>
          <w:szCs w:val="32"/>
          <w:shd w:val="clear" w:color="auto" w:fill="FFFFFF"/>
          <w:lang w:val="en-US" w:eastAsia="zh-CN" w:bidi="ar-SA"/>
        </w:rPr>
        <w:t>，包括但不限于</w:t>
      </w:r>
      <w:r>
        <w:rPr>
          <w:rFonts w:hint="default" w:ascii="仿宋_GB2312" w:hAnsi="仿宋_GB2312" w:eastAsia="仿宋_GB2312" w:cs="仿宋_GB2312"/>
          <w:b w:val="0"/>
          <w:bCs w:val="0"/>
          <w:color w:val="333333"/>
          <w:kern w:val="0"/>
          <w:sz w:val="32"/>
          <w:szCs w:val="32"/>
          <w:shd w:val="clear" w:color="auto" w:fill="FFFFFF"/>
          <w:lang w:val="en-US" w:eastAsia="zh-CN" w:bidi="ar-SA"/>
        </w:rPr>
        <w:t>圆桌论坛、企业参访、学员研讨等</w:t>
      </w:r>
      <w:r>
        <w:rPr>
          <w:rFonts w:hint="eastAsia" w:ascii="仿宋_GB2312" w:hAnsi="仿宋_GB2312" w:eastAsia="仿宋_GB2312" w:cs="仿宋_GB2312"/>
          <w:b w:val="0"/>
          <w:bCs w:val="0"/>
          <w:color w:val="333333"/>
          <w:kern w:val="0"/>
          <w:sz w:val="32"/>
          <w:szCs w:val="32"/>
          <w:shd w:val="clear" w:color="auto" w:fill="FFFFFF"/>
          <w:lang w:val="en-US" w:eastAsia="zh-CN" w:bidi="ar-SA"/>
        </w:rPr>
        <w:t>，旨在</w:t>
      </w:r>
      <w:r>
        <w:rPr>
          <w:rFonts w:hint="default" w:ascii="仿宋_GB2312" w:hAnsi="仿宋_GB2312" w:eastAsia="仿宋_GB2312" w:cs="仿宋_GB2312"/>
          <w:b w:val="0"/>
          <w:bCs w:val="0"/>
          <w:color w:val="333333"/>
          <w:kern w:val="0"/>
          <w:sz w:val="32"/>
          <w:szCs w:val="32"/>
          <w:shd w:val="clear" w:color="auto" w:fill="FFFFFF"/>
          <w:lang w:val="en-US" w:eastAsia="zh-CN" w:bidi="ar-SA"/>
        </w:rPr>
        <w:t>促进学员的全方位沟通</w:t>
      </w:r>
      <w:r>
        <w:rPr>
          <w:rFonts w:hint="eastAsia" w:ascii="仿宋_GB2312" w:hAnsi="仿宋_GB2312" w:eastAsia="仿宋_GB2312" w:cs="仿宋_GB2312"/>
          <w:b w:val="0"/>
          <w:bCs w:val="0"/>
          <w:color w:val="333333"/>
          <w:kern w:val="0"/>
          <w:sz w:val="32"/>
          <w:szCs w:val="32"/>
          <w:shd w:val="clear" w:color="auto" w:fill="FFFFFF"/>
          <w:lang w:val="en-US" w:eastAsia="zh-CN" w:bidi="ar-SA"/>
        </w:rPr>
        <w:t>，</w:t>
      </w:r>
      <w:r>
        <w:rPr>
          <w:rFonts w:hint="eastAsia" w:ascii="仿宋_GB2312" w:hAnsi="仿宋_GB2312" w:eastAsia="仿宋_GB2312" w:cs="仿宋_GB2312"/>
          <w:color w:val="333333"/>
          <w:kern w:val="0"/>
          <w:sz w:val="32"/>
          <w:szCs w:val="32"/>
          <w:shd w:val="clear" w:color="auto" w:fill="FFFFFF"/>
        </w:rPr>
        <w:t>推动跨行业交流</w:t>
      </w:r>
      <w:r>
        <w:rPr>
          <w:rFonts w:hint="eastAsia" w:ascii="仿宋_GB2312" w:hAnsi="仿宋_GB2312" w:eastAsia="仿宋_GB2312" w:cs="仿宋_GB2312"/>
          <w:color w:val="333333"/>
          <w:kern w:val="0"/>
          <w:sz w:val="32"/>
          <w:szCs w:val="32"/>
          <w:shd w:val="clear" w:color="auto" w:fill="FFFFFF"/>
          <w:lang w:eastAsia="zh-CN"/>
        </w:rPr>
        <w:t>。</w:t>
      </w:r>
    </w:p>
    <w:p>
      <w:pPr>
        <w:pStyle w:val="2"/>
        <w:numPr>
          <w:ilvl w:val="0"/>
          <w:numId w:val="0"/>
        </w:numPr>
        <w:ind w:leftChars="0"/>
        <w:rPr>
          <w:rFonts w:hint="eastAsia"/>
          <w:lang w:val="en-US" w:eastAsia="zh-CN"/>
        </w:rPr>
      </w:pPr>
      <w:r>
        <w:drawing>
          <wp:inline distT="0" distB="0" distL="114300" distR="114300">
            <wp:extent cx="5267960" cy="2844165"/>
            <wp:effectExtent l="0" t="0" r="5080"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267960" cy="2844165"/>
                    </a:xfrm>
                    <a:prstGeom prst="rect">
                      <a:avLst/>
                    </a:prstGeom>
                    <a:noFill/>
                    <a:ln>
                      <a:noFill/>
                    </a:ln>
                  </pic:spPr>
                </pic:pic>
              </a:graphicData>
            </a:graphic>
          </wp:inline>
        </w:drawing>
      </w:r>
    </w:p>
    <w:p>
      <w:pPr>
        <w:spacing w:after="240"/>
        <w:ind w:left="0" w:leftChars="0" w:right="0" w:rightChars="0" w:firstLine="0" w:firstLineChars="0"/>
        <w:jc w:val="center"/>
        <w:rPr>
          <w:rFonts w:hint="eastAsia" w:ascii="仿宋_GB2312" w:hAnsi="楷体" w:eastAsia="仿宋_GB2312"/>
          <w:sz w:val="24"/>
          <w:szCs w:val="24"/>
        </w:rPr>
      </w:pPr>
      <w:r>
        <w:rPr>
          <w:rFonts w:hint="eastAsia" w:ascii="仿宋_GB2312" w:hAnsi="仿宋_GB2312" w:eastAsia="仿宋_GB2312" w:cs="仿宋_GB2312"/>
          <w:b w:val="0"/>
          <w:bCs w:val="0"/>
          <w:color w:val="333333"/>
          <w:kern w:val="0"/>
          <w:sz w:val="24"/>
          <w:szCs w:val="24"/>
          <w:shd w:val="clear" w:color="auto" w:fill="FFFFFF"/>
          <w:lang w:val="en-US" w:eastAsia="zh-CN" w:bidi="ar-SA"/>
        </w:rPr>
        <w:t>图二：“财富管理”</w:t>
      </w:r>
      <w:r>
        <w:rPr>
          <w:rFonts w:hint="eastAsia" w:ascii="仿宋_GB2312" w:hAnsi="楷体" w:eastAsia="仿宋_GB2312"/>
          <w:sz w:val="24"/>
          <w:szCs w:val="24"/>
        </w:rPr>
        <w:t>模块设计</w:t>
      </w:r>
    </w:p>
    <w:p>
      <w:pPr>
        <w:numPr>
          <w:ilvl w:val="0"/>
          <w:numId w:val="0"/>
        </w:numPr>
        <w:spacing w:after="240"/>
        <w:ind w:leftChars="0" w:right="0" w:rightChars="0" w:firstLine="640" w:firstLineChars="200"/>
        <w:jc w:val="both"/>
        <w:rPr>
          <w:rFonts w:hint="eastAsia" w:ascii="黑体" w:hAnsi="黑体" w:eastAsia="黑体"/>
          <w:b w:val="0"/>
          <w:bCs w:val="0"/>
          <w:sz w:val="32"/>
          <w:szCs w:val="32"/>
        </w:rPr>
      </w:pPr>
      <w:r>
        <w:rPr>
          <w:rFonts w:hint="eastAsia" w:ascii="黑体" w:hAnsi="黑体" w:eastAsia="黑体"/>
          <w:b w:val="0"/>
          <w:bCs w:val="0"/>
          <w:sz w:val="32"/>
          <w:szCs w:val="32"/>
          <w:lang w:val="en-US" w:eastAsia="zh-CN"/>
        </w:rPr>
        <w:t>二、</w:t>
      </w:r>
      <w:r>
        <w:rPr>
          <w:rFonts w:hint="eastAsia" w:ascii="黑体" w:hAnsi="黑体" w:eastAsia="黑体"/>
          <w:b w:val="0"/>
          <w:bCs w:val="0"/>
          <w:sz w:val="32"/>
          <w:szCs w:val="32"/>
        </w:rPr>
        <w:t>课程设置及师资介绍</w:t>
      </w:r>
    </w:p>
    <w:tbl>
      <w:tblPr>
        <w:tblStyle w:val="7"/>
        <w:tblW w:w="6161" w:type="pct"/>
        <w:tblCellSpacing w:w="0" w:type="dxa"/>
        <w:tblInd w:w="-10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36"/>
        <w:gridCol w:w="3992"/>
        <w:gridCol w:w="1000"/>
        <w:gridCol w:w="4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 w:hRule="atLeast"/>
          <w:tblCellSpacing w:w="0" w:type="dxa"/>
        </w:trPr>
        <w:tc>
          <w:tcPr>
            <w:tcW w:w="488" w:type="pct"/>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rFonts w:hint="eastAsia" w:ascii="黑体" w:hAnsi="黑体" w:eastAsia="黑体" w:cs="宋体"/>
                <w:color w:val="FFFFFF" w:themeColor="background1"/>
                <w:kern w:val="0"/>
                <w:sz w:val="28"/>
                <w:szCs w:val="28"/>
                <w:lang w:val="en-US" w:eastAsia="zh-CN" w:bidi="ar-SA"/>
                <w14:textFill>
                  <w14:solidFill>
                    <w14:schemeClr w14:val="bg1"/>
                  </w14:solidFill>
                </w14:textFill>
              </w:rPr>
            </w:pPr>
            <w:r>
              <w:rPr>
                <w:rFonts w:hint="eastAsia" w:ascii="黑体" w:hAnsi="黑体" w:eastAsia="黑体" w:cs="宋体"/>
                <w:color w:val="FFFFFF" w:themeColor="background1"/>
                <w:kern w:val="0"/>
                <w:sz w:val="28"/>
                <w:szCs w:val="28"/>
                <w:lang w:val="en-US" w:eastAsia="zh-CN" w:bidi="ar-SA"/>
                <w14:textFill>
                  <w14:solidFill>
                    <w14:schemeClr w14:val="bg1"/>
                  </w14:solidFill>
                </w14:textFill>
              </w:rPr>
              <w:t>模块</w:t>
            </w:r>
          </w:p>
        </w:tc>
        <w:tc>
          <w:tcPr>
            <w:tcW w:w="1880" w:type="pct"/>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rFonts w:hint="eastAsia" w:ascii="黑体" w:hAnsi="黑体" w:eastAsia="黑体" w:cs="宋体"/>
                <w:color w:val="FFFFFF" w:themeColor="background1"/>
                <w:kern w:val="0"/>
                <w:sz w:val="28"/>
                <w:szCs w:val="28"/>
                <w:lang w:val="en-US" w:eastAsia="zh-CN" w:bidi="ar-SA"/>
                <w14:textFill>
                  <w14:solidFill>
                    <w14:schemeClr w14:val="bg1"/>
                  </w14:solidFill>
                </w14:textFill>
              </w:rPr>
            </w:pPr>
            <w:r>
              <w:rPr>
                <w:rFonts w:hint="eastAsia" w:ascii="黑体" w:hAnsi="黑体" w:eastAsia="黑体" w:cs="宋体"/>
                <w:color w:val="FFFFFF" w:themeColor="background1"/>
                <w:kern w:val="0"/>
                <w:sz w:val="28"/>
                <w:szCs w:val="28"/>
                <w:lang w:val="en-US" w:eastAsia="zh-CN" w:bidi="ar-SA"/>
                <w14:textFill>
                  <w14:solidFill>
                    <w14:schemeClr w14:val="bg1"/>
                  </w14:solidFill>
                </w14:textFill>
              </w:rPr>
              <w:t>研修课程</w:t>
            </w:r>
          </w:p>
        </w:tc>
        <w:tc>
          <w:tcPr>
            <w:tcW w:w="2630" w:type="pct"/>
            <w:gridSpan w:val="2"/>
            <w:tcBorders>
              <w:top w:val="single" w:color="FFFFFF" w:sz="4" w:space="0"/>
              <w:left w:val="single" w:color="FFFFFF" w:sz="4" w:space="0"/>
              <w:bottom w:val="single" w:color="FFFFFF" w:sz="12" w:space="0"/>
              <w:right w:val="single" w:color="FFFFFF" w:sz="4" w:space="0"/>
            </w:tcBorders>
            <w:shd w:val="clear" w:color="auto" w:fill="0E335B"/>
            <w:tcMar>
              <w:top w:w="72" w:type="dxa"/>
              <w:left w:w="144" w:type="dxa"/>
              <w:bottom w:w="72" w:type="dxa"/>
              <w:right w:w="144" w:type="dxa"/>
            </w:tcMar>
            <w:vAlign w:val="center"/>
          </w:tcPr>
          <w:p>
            <w:pPr>
              <w:pStyle w:val="6"/>
              <w:keepNext w:val="0"/>
              <w:keepLines w:val="0"/>
              <w:widowControl/>
              <w:suppressLineNumbers w:val="0"/>
              <w:ind w:left="0" w:leftChars="0" w:right="0" w:rightChars="0" w:firstLine="0" w:firstLineChars="0"/>
              <w:jc w:val="center"/>
              <w:rPr>
                <w:rFonts w:hint="eastAsia" w:ascii="黑体" w:hAnsi="黑体" w:eastAsia="黑体" w:cs="宋体"/>
                <w:color w:val="FFFFFF" w:themeColor="background1"/>
                <w:kern w:val="0"/>
                <w:sz w:val="28"/>
                <w:szCs w:val="28"/>
                <w:lang w:val="en-US" w:eastAsia="zh-CN" w:bidi="ar-SA"/>
                <w14:textFill>
                  <w14:solidFill>
                    <w14:schemeClr w14:val="bg1"/>
                  </w14:solidFill>
                </w14:textFill>
              </w:rPr>
            </w:pPr>
            <w:r>
              <w:rPr>
                <w:rFonts w:hint="eastAsia" w:ascii="黑体" w:hAnsi="黑体" w:eastAsia="黑体" w:cs="宋体"/>
                <w:color w:val="FFFFFF" w:themeColor="background1"/>
                <w:kern w:val="0"/>
                <w:sz w:val="28"/>
                <w:szCs w:val="28"/>
                <w:lang w:val="en-US" w:eastAsia="zh-CN" w:bidi="ar-SA"/>
                <w14:textFill>
                  <w14:solidFill>
                    <w14:schemeClr w14:val="bg1"/>
                  </w14:solidFill>
                </w14:textFill>
              </w:rPr>
              <w:t>师资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blCellSpacing w:w="0" w:type="dxa"/>
        </w:trPr>
        <w:tc>
          <w:tcPr>
            <w:tcW w:w="488" w:type="pct"/>
            <w:vMerge w:val="restar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pPr>
            <w:r>
              <w:rPr>
                <w:color w:val="000000"/>
                <w:sz w:val="28"/>
                <w:szCs w:val="28"/>
              </w:rPr>
              <w:t>主题课程</w:t>
            </w: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pPr>
            <w:r>
              <w:rPr>
                <w:rFonts w:hint="eastAsia" w:ascii="黑体" w:hAnsi="宋体" w:eastAsia="黑体" w:cs="黑体"/>
                <w:color w:val="000000"/>
                <w:sz w:val="22"/>
                <w:szCs w:val="22"/>
              </w:rPr>
              <w:t>1.构建符合时代资产逻辑的财富管理能力</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王忠民</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深圳市金融稳定发展研究院理事长，全国社会保障基金理事会原副理事长，中国财富管理50人论坛学术委员会名誉主席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pPr>
            <w:r>
              <w:rPr>
                <w:rFonts w:hint="eastAsia" w:ascii="黑体" w:hAnsi="宋体" w:eastAsia="黑体" w:cs="黑体"/>
                <w:color w:val="000000"/>
                <w:sz w:val="22"/>
                <w:szCs w:val="22"/>
              </w:rPr>
              <w:t>2.深圳金融高质量发展与国际财富管理中心建设：ESG和银发经济的视角</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何</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杰</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深圳市地方金融监督管理局局长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pPr>
            <w:r>
              <w:rPr>
                <w:rFonts w:hint="eastAsia" w:ascii="黑体" w:hAnsi="宋体" w:eastAsia="黑体" w:cs="黑体"/>
                <w:color w:val="000000"/>
                <w:sz w:val="22"/>
                <w:szCs w:val="22"/>
              </w:rPr>
              <w:t>3.资产定价与资产配置</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舒</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涛</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香港中文大学（深圳）经管学院校长讲座教授；深圳高等金融研究院副院长、金融学理学硕士项目主任、资本市场和资产管理研究中心主任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pPr>
            <w:r>
              <w:rPr>
                <w:rFonts w:hint="eastAsia" w:ascii="黑体" w:hAnsi="宋体" w:eastAsia="黑体" w:cs="黑体"/>
                <w:color w:val="000000"/>
                <w:sz w:val="22"/>
                <w:szCs w:val="22"/>
              </w:rPr>
              <w:t>4.大湾区跨境理财业务发展</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李升高</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中国人民银行深圳市中心支行巡视员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vMerge w:val="restar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pPr>
            <w:r>
              <w:rPr>
                <w:rFonts w:hint="eastAsia" w:ascii="黑体" w:hAnsi="宋体" w:eastAsia="黑体" w:cs="黑体"/>
                <w:color w:val="000000"/>
                <w:sz w:val="22"/>
                <w:szCs w:val="22"/>
              </w:rPr>
              <w:t>5.金融科技与财富管理：技术生态构建</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杨俊逸</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南方基金信息技术部副总裁；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vMerge w:val="continue"/>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rPr>
                <w:rFonts w:hint="eastAsia" w:ascii="宋体"/>
                <w:sz w:val="24"/>
                <w:szCs w:val="24"/>
              </w:rPr>
            </w:pP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桂征辉</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博时基金中证淘金大数据100指数基金、博时银智大数据100指数基金、博时中证500指数增强基金基金经理。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vMerge w:val="continue"/>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rPr>
                <w:rFonts w:hint="eastAsia" w:ascii="宋体"/>
                <w:sz w:val="24"/>
                <w:szCs w:val="24"/>
              </w:rPr>
            </w:pP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李</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鹏</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华为2012工程实验室技术专家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6.第三支柱与保险资管投资结构优化</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韩向荣</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生命保险资产管理有限公司董事长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7.瑞银集团财富管理业务发展实践</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钱于军</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瑞银证券有限责任公司董事长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8.招行私人银行发展经验及大财富管理生态构建</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王晏蓉</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招行私人银行部总经理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blCellSpacing w:w="0" w:type="dxa"/>
        </w:trPr>
        <w:tc>
          <w:tcPr>
            <w:tcW w:w="488" w:type="pct"/>
            <w:vMerge w:val="restar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pPr>
            <w:r>
              <w:rPr>
                <w:color w:val="000000"/>
                <w:sz w:val="28"/>
                <w:szCs w:val="28"/>
              </w:rPr>
              <w:t>公共课程</w:t>
            </w: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9.转型与增长：当前宏观形势分析</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唐</w:t>
            </w:r>
            <w:r>
              <w:rPr>
                <w:rFonts w:hint="eastAsia" w:ascii="黑体" w:hAnsi="宋体" w:eastAsia="黑体" w:cs="黑体"/>
                <w:color w:val="333333"/>
                <w:sz w:val="24"/>
                <w:szCs w:val="24"/>
                <w:lang w:val="en-US" w:eastAsia="zh-CN"/>
              </w:rPr>
              <w:t xml:space="preserve">  </w:t>
            </w:r>
            <w:r>
              <w:rPr>
                <w:rFonts w:hint="eastAsia" w:ascii="黑体" w:hAnsi="宋体" w:eastAsia="黑体" w:cs="黑体"/>
                <w:color w:val="333333"/>
                <w:sz w:val="24"/>
                <w:szCs w:val="24"/>
              </w:rPr>
              <w:t>杰</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香港中文大学（深圳）理事、深圳高等金融研究院湾区发展与中国经济研究中心学术主任。哈尔滨工业大学（深圳）经管学院教授、博士研究生导师。国家发改委“十三五”“十四五”国家规划委员会委员。曾任深圳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blCellSpacing w:w="0" w:type="dxa"/>
        </w:trPr>
        <w:tc>
          <w:tcPr>
            <w:tcW w:w="488" w:type="pct"/>
            <w:vMerge w:val="continue"/>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rPr>
                <w:rFonts w:hint="eastAsia" w:ascii="宋体"/>
                <w:sz w:val="24"/>
                <w:szCs w:val="24"/>
              </w:rPr>
            </w:pP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10.深圳金融“十四五”规划解读</w:t>
            </w:r>
          </w:p>
        </w:tc>
        <w:tc>
          <w:tcPr>
            <w:tcW w:w="471" w:type="pct"/>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widowControl/>
              <w:suppressLineNumbers w:val="0"/>
              <w:ind w:left="0" w:leftChars="0" w:right="0" w:rightChars="0" w:firstLine="0" w:firstLineChars="0"/>
              <w:jc w:val="center"/>
              <w:rPr>
                <w:rFonts w:hint="eastAsia" w:ascii="黑体" w:hAnsi="宋体" w:eastAsia="黑体" w:cs="黑体"/>
                <w:color w:val="333333"/>
                <w:sz w:val="24"/>
                <w:szCs w:val="24"/>
              </w:rPr>
            </w:pPr>
            <w:r>
              <w:rPr>
                <w:rFonts w:hint="eastAsia" w:ascii="黑体" w:hAnsi="宋体" w:eastAsia="黑体" w:cs="黑体"/>
                <w:color w:val="333333"/>
                <w:sz w:val="24"/>
                <w:szCs w:val="24"/>
              </w:rPr>
              <w:t>盛杨怿</w:t>
            </w:r>
          </w:p>
        </w:tc>
        <w:tc>
          <w:tcPr>
            <w:tcW w:w="2158"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default" w:ascii="仿宋_GB2312" w:eastAsia="仿宋_GB2312" w:cs="仿宋_GB2312"/>
                <w:color w:val="333333"/>
                <w:sz w:val="22"/>
                <w:szCs w:val="22"/>
              </w:rPr>
            </w:pPr>
            <w:r>
              <w:rPr>
                <w:rFonts w:hint="default" w:ascii="仿宋_GB2312" w:eastAsia="仿宋_GB2312" w:cs="仿宋_GB2312"/>
                <w:color w:val="333333"/>
                <w:sz w:val="22"/>
                <w:szCs w:val="22"/>
              </w:rPr>
              <w:t>深圳市地方金融监督管理局政策法规处处长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0" w:hRule="atLeast"/>
          <w:tblCellSpacing w:w="0" w:type="dxa"/>
        </w:trPr>
        <w:tc>
          <w:tcPr>
            <w:tcW w:w="488" w:type="pct"/>
            <w:tcBorders>
              <w:top w:val="single" w:color="FFFFFF" w:sz="4" w:space="0"/>
              <w:left w:val="single" w:color="FFFFFF" w:sz="4" w:space="0"/>
              <w:bottom w:val="single" w:color="FFFFFF" w:sz="12" w:space="0"/>
              <w:right w:val="single" w:color="FFFFFF" w:sz="4" w:space="0"/>
            </w:tcBorders>
            <w:shd w:val="clear" w:color="auto" w:fill="D9D9D9"/>
            <w:tcMar>
              <w:top w:w="72" w:type="dxa"/>
              <w:left w:w="144" w:type="dxa"/>
              <w:bottom w:w="72" w:type="dxa"/>
              <w:right w:w="144" w:type="dxa"/>
            </w:tcMar>
            <w:vAlign w:val="center"/>
          </w:tcPr>
          <w:p>
            <w:pPr>
              <w:pStyle w:val="6"/>
              <w:keepNext w:val="0"/>
              <w:keepLines w:val="0"/>
              <w:widowControl/>
              <w:suppressLineNumbers w:val="0"/>
            </w:pPr>
            <w:r>
              <w:rPr>
                <w:color w:val="000000"/>
                <w:sz w:val="28"/>
                <w:szCs w:val="28"/>
              </w:rPr>
              <w:t>圆桌论坛</w:t>
            </w:r>
          </w:p>
        </w:tc>
        <w:tc>
          <w:tcPr>
            <w:tcW w:w="1880" w:type="pct"/>
            <w:tcBorders>
              <w:top w:val="single" w:color="FFFFFF" w:sz="4" w:space="0"/>
              <w:left w:val="single" w:color="FFFFFF" w:sz="4" w:space="0"/>
              <w:bottom w:val="single" w:color="FFFFFF" w:sz="12" w:space="0"/>
              <w:right w:val="single" w:color="FFFFFF" w:sz="4" w:space="0"/>
            </w:tcBorders>
            <w:shd w:val="clear" w:color="auto" w:fill="D9D9D9"/>
            <w:tcMar>
              <w:left w:w="108" w:type="dxa"/>
              <w:right w:w="108" w:type="dxa"/>
            </w:tcMar>
            <w:vAlign w:val="center"/>
          </w:tcPr>
          <w:p>
            <w:pPr>
              <w:pStyle w:val="6"/>
              <w:keepNext w:val="0"/>
              <w:keepLines w:val="0"/>
              <w:widowControl/>
              <w:suppressLineNumbers w:val="0"/>
              <w:jc w:val="left"/>
              <w:rPr>
                <w:rFonts w:hint="eastAsia" w:ascii="黑体" w:hAnsi="宋体" w:eastAsia="黑体" w:cs="黑体"/>
                <w:color w:val="000000"/>
                <w:sz w:val="22"/>
                <w:szCs w:val="22"/>
              </w:rPr>
            </w:pPr>
            <w:r>
              <w:rPr>
                <w:rFonts w:hint="eastAsia" w:ascii="黑体" w:hAnsi="宋体" w:eastAsia="黑体" w:cs="黑体"/>
                <w:color w:val="000000"/>
                <w:sz w:val="22"/>
                <w:szCs w:val="22"/>
              </w:rPr>
              <w:t>大财富管理趋势下机构的差异化竞争发展之路</w:t>
            </w:r>
          </w:p>
        </w:tc>
        <w:tc>
          <w:tcPr>
            <w:tcW w:w="2630" w:type="pct"/>
            <w:gridSpan w:val="2"/>
            <w:tcBorders>
              <w:top w:val="single" w:color="FFFFFF" w:sz="4" w:space="0"/>
              <w:left w:val="single" w:color="FFFFFF" w:sz="4" w:space="0"/>
              <w:bottom w:val="single" w:color="FFFFFF" w:sz="12" w:space="0"/>
              <w:right w:val="single" w:color="FFFFFF" w:sz="4" w:space="0"/>
            </w:tcBorders>
            <w:shd w:val="clear" w:color="auto" w:fill="D9D9D9"/>
            <w:tcMar>
              <w:top w:w="7" w:type="dxa"/>
              <w:left w:w="7" w:type="dxa"/>
              <w:right w:w="7"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pPr>
            <w:r>
              <w:rPr>
                <w:rFonts w:hint="eastAsia" w:ascii="黑体" w:hAnsi="宋体" w:eastAsia="黑体" w:cs="黑体"/>
                <w:color w:val="333333"/>
                <w:sz w:val="22"/>
                <w:szCs w:val="22"/>
                <w:lang w:val="en-US" w:eastAsia="zh-CN"/>
              </w:rPr>
              <w:t>主持人——姜跃龙，</w:t>
            </w:r>
            <w:r>
              <w:rPr>
                <w:rFonts w:hint="eastAsia" w:ascii="仿宋_GB2312" w:eastAsia="仿宋_GB2312" w:cs="仿宋_GB2312"/>
                <w:color w:val="333333"/>
                <w:sz w:val="24"/>
                <w:szCs w:val="24"/>
              </w:rPr>
              <w:t>福田区金融工作局局长</w:t>
            </w:r>
          </w:p>
          <w:p>
            <w:pPr>
              <w:pStyle w:val="6"/>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pPr>
            <w:r>
              <w:rPr>
                <w:rFonts w:hint="eastAsia" w:ascii="黑体" w:hAnsi="宋体" w:eastAsia="黑体" w:cs="黑体"/>
                <w:color w:val="333333"/>
                <w:sz w:val="22"/>
                <w:szCs w:val="22"/>
                <w:lang w:val="en-US" w:eastAsia="zh-CN"/>
              </w:rPr>
              <w:t>嘉宾：熊志钢</w:t>
            </w:r>
            <w:r>
              <w:rPr>
                <w:rFonts w:hint="eastAsia" w:ascii="仿宋_GB2312" w:eastAsia="仿宋_GB2312" w:cs="仿宋_GB2312"/>
                <w:color w:val="333333"/>
                <w:sz w:val="24"/>
                <w:szCs w:val="24"/>
              </w:rPr>
              <w:t>，招商证券资产管理有限公司总经理</w:t>
            </w:r>
          </w:p>
          <w:p>
            <w:pPr>
              <w:pStyle w:val="6"/>
              <w:keepNext w:val="0"/>
              <w:keepLines w:val="0"/>
              <w:widowControl/>
              <w:suppressLineNumbers w:val="0"/>
            </w:pPr>
            <w:r>
              <w:rPr>
                <w:rFonts w:hint="eastAsia" w:ascii="黑体" w:hAnsi="宋体" w:eastAsia="黑体" w:cs="黑体"/>
                <w:color w:val="333333"/>
                <w:sz w:val="22"/>
                <w:szCs w:val="22"/>
                <w:lang w:val="en-US" w:eastAsia="zh-CN"/>
              </w:rPr>
              <w:t>王鸿嫔</w:t>
            </w:r>
            <w:r>
              <w:rPr>
                <w:rFonts w:hint="eastAsia" w:ascii="仿宋_GB2312" w:eastAsia="仿宋_GB2312" w:cs="仿宋_GB2312"/>
                <w:color w:val="333333"/>
                <w:sz w:val="24"/>
                <w:szCs w:val="24"/>
              </w:rPr>
              <w:t>，摩根士丹利华鑫基金管理有限公司总经理</w:t>
            </w:r>
          </w:p>
          <w:p>
            <w:pPr>
              <w:pStyle w:val="6"/>
              <w:keepNext w:val="0"/>
              <w:keepLines w:val="0"/>
              <w:widowControl/>
              <w:suppressLineNumbers w:val="0"/>
            </w:pPr>
            <w:r>
              <w:rPr>
                <w:rFonts w:hint="eastAsia" w:ascii="黑体" w:hAnsi="宋体" w:eastAsia="黑体" w:cs="黑体"/>
                <w:color w:val="333333"/>
                <w:sz w:val="22"/>
                <w:szCs w:val="22"/>
                <w:lang w:val="en-US" w:eastAsia="zh-CN"/>
              </w:rPr>
              <w:t>韩刚</w:t>
            </w:r>
            <w:r>
              <w:rPr>
                <w:rFonts w:hint="eastAsia" w:ascii="仿宋_GB2312" w:eastAsia="仿宋_GB2312" w:cs="仿宋_GB2312"/>
                <w:color w:val="333333"/>
                <w:sz w:val="24"/>
                <w:szCs w:val="24"/>
              </w:rPr>
              <w:t>，建信理财有限责任公司投资总监</w:t>
            </w:r>
          </w:p>
          <w:p>
            <w:pPr>
              <w:pStyle w:val="6"/>
              <w:keepNext w:val="0"/>
              <w:keepLines w:val="0"/>
              <w:widowControl/>
              <w:suppressLineNumbers w:val="0"/>
            </w:pPr>
            <w:r>
              <w:rPr>
                <w:rFonts w:hint="eastAsia" w:ascii="黑体" w:hAnsi="宋体" w:eastAsia="黑体" w:cs="黑体"/>
                <w:color w:val="333333"/>
                <w:sz w:val="22"/>
                <w:szCs w:val="22"/>
                <w:lang w:val="en-US" w:eastAsia="zh-CN"/>
              </w:rPr>
              <w:t>王东洋，</w:t>
            </w:r>
            <w:r>
              <w:rPr>
                <w:rFonts w:hint="eastAsia" w:ascii="仿宋_GB2312" w:eastAsia="仿宋_GB2312" w:cs="仿宋_GB2312"/>
                <w:color w:val="333333"/>
                <w:sz w:val="24"/>
                <w:szCs w:val="24"/>
              </w:rPr>
              <w:t>凯丰投资管理有限公司总经理</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_GB2312" w:hAnsi="仿宋_GB2312" w:eastAsia="仿宋_GB2312" w:cs="仿宋_GB2312"/>
          <w:b w:val="0"/>
          <w:bCs w:val="0"/>
          <w:color w:val="333333"/>
          <w:kern w:val="0"/>
          <w:sz w:val="24"/>
          <w:szCs w:val="24"/>
          <w:shd w:val="clear" w:color="auto" w:fill="FFFFFF"/>
          <w:lang w:val="en-US" w:eastAsia="zh-CN" w:bidi="ar-SA"/>
        </w:rPr>
      </w:pPr>
      <w:r>
        <w:rPr>
          <w:rFonts w:hint="eastAsia" w:ascii="仿宋_GB2312" w:hAnsi="仿宋_GB2312" w:eastAsia="仿宋_GB2312" w:cs="仿宋_GB2312"/>
          <w:b w:val="0"/>
          <w:bCs w:val="0"/>
          <w:color w:val="333333"/>
          <w:kern w:val="0"/>
          <w:sz w:val="24"/>
          <w:szCs w:val="24"/>
          <w:shd w:val="clear" w:color="auto" w:fill="FFFFFF"/>
          <w:lang w:val="en-US" w:eastAsia="zh-CN" w:bidi="ar-SA"/>
        </w:rPr>
        <w:t>（</w:t>
      </w:r>
      <w:r>
        <w:rPr>
          <w:rFonts w:hint="default" w:ascii="仿宋_GB2312" w:hAnsi="仿宋_GB2312" w:eastAsia="仿宋_GB2312" w:cs="仿宋_GB2312"/>
          <w:b w:val="0"/>
          <w:bCs w:val="0"/>
          <w:color w:val="333333"/>
          <w:kern w:val="0"/>
          <w:sz w:val="24"/>
          <w:szCs w:val="24"/>
          <w:shd w:val="clear" w:color="auto" w:fill="FFFFFF"/>
          <w:lang w:val="en-US" w:eastAsia="zh-CN" w:bidi="ar-SA"/>
        </w:rPr>
        <w:t>备注：课程内容、师资安排可能会根据市地方金融管理局和学员要求进行调整优化，以研究院最终的课程安排为准。</w:t>
      </w:r>
      <w:r>
        <w:rPr>
          <w:rFonts w:hint="eastAsia" w:ascii="仿宋_GB2312" w:hAnsi="仿宋_GB2312" w:eastAsia="仿宋_GB2312" w:cs="仿宋_GB2312"/>
          <w:b w:val="0"/>
          <w:bCs w:val="0"/>
          <w:color w:val="333333"/>
          <w:kern w:val="0"/>
          <w:sz w:val="24"/>
          <w:szCs w:val="24"/>
          <w:shd w:val="clear" w:color="auto" w:fill="FFFFFF"/>
          <w:lang w:val="en-US" w:eastAsia="zh-CN" w:bidi="ar-SA"/>
        </w:rPr>
        <w:t>）</w:t>
      </w:r>
    </w:p>
    <w:p>
      <w:pPr>
        <w:rPr>
          <w:rFonts w:hint="eastAsia" w:ascii="黑体" w:hAnsi="黑体" w:eastAsia="黑体" w:cstheme="minorBidi"/>
          <w:b/>
          <w:bCs/>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theme="minorBidi"/>
          <w:b/>
          <w:bCs/>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lang w:val="en-US" w:eastAsia="zh-CN"/>
        </w:rPr>
      </w:pPr>
    </w:p>
    <w:p>
      <w:pPr>
        <w:rPr>
          <w:rFonts w:hint="eastAsia"/>
          <w:lang w:val="en-US" w:eastAsia="zh-CN"/>
        </w:rPr>
      </w:pPr>
    </w:p>
    <w:p>
      <w:pPr>
        <w:pStyle w:val="2"/>
        <w:numPr>
          <w:ilvl w:val="0"/>
          <w:numId w:val="0"/>
        </w:numPr>
        <w:ind w:leftChars="0"/>
        <w:rPr>
          <w:rFonts w:hint="eastAsia"/>
          <w:lang w:val="en-US" w:eastAsia="zh-CN"/>
        </w:rPr>
      </w:pPr>
    </w:p>
    <w:p>
      <w:pPr>
        <w:spacing w:after="240"/>
        <w:ind w:firstLine="640" w:firstLineChars="200"/>
        <w:rPr>
          <w:rFonts w:hint="eastAsia" w:ascii="黑体" w:hAnsi="黑体" w:eastAsia="黑体" w:cstheme="minorBidi"/>
          <w:b w:val="0"/>
          <w:bCs w:val="0"/>
          <w:color w:val="auto"/>
          <w:kern w:val="2"/>
          <w:sz w:val="32"/>
          <w:szCs w:val="32"/>
          <w:lang w:val="en-US" w:eastAsia="zh-CN" w:bidi="ar-SA"/>
        </w:rPr>
      </w:pPr>
      <w:r>
        <w:rPr>
          <w:rFonts w:hint="eastAsia" w:ascii="黑体" w:hAnsi="黑体" w:eastAsia="黑体" w:cstheme="minorBidi"/>
          <w:b w:val="0"/>
          <w:bCs w:val="0"/>
          <w:color w:val="auto"/>
          <w:kern w:val="2"/>
          <w:sz w:val="32"/>
          <w:szCs w:val="32"/>
          <w:lang w:val="en-US" w:eastAsia="zh-CN" w:bidi="ar-SA"/>
        </w:rPr>
        <w:t>三、课程学时及时间安排</w:t>
      </w:r>
    </w:p>
    <w:tbl>
      <w:tblPr>
        <w:tblStyle w:val="7"/>
        <w:tblW w:w="10430" w:type="dxa"/>
        <w:tblInd w:w="-948" w:type="dxa"/>
        <w:tblLayout w:type="autofit"/>
        <w:tblCellMar>
          <w:top w:w="0" w:type="dxa"/>
          <w:left w:w="108" w:type="dxa"/>
          <w:bottom w:w="0" w:type="dxa"/>
          <w:right w:w="108" w:type="dxa"/>
        </w:tblCellMar>
      </w:tblPr>
      <w:tblGrid>
        <w:gridCol w:w="1223"/>
        <w:gridCol w:w="911"/>
        <w:gridCol w:w="4454"/>
        <w:gridCol w:w="1696"/>
        <w:gridCol w:w="2146"/>
      </w:tblGrid>
      <w:tr>
        <w:tblPrEx>
          <w:tblCellMar>
            <w:top w:w="0" w:type="dxa"/>
            <w:left w:w="108" w:type="dxa"/>
            <w:bottom w:w="0" w:type="dxa"/>
            <w:right w:w="108" w:type="dxa"/>
          </w:tblCellMar>
        </w:tblPrEx>
        <w:trPr>
          <w:trHeight w:val="360" w:hRule="atLeast"/>
        </w:trPr>
        <w:tc>
          <w:tcPr>
            <w:tcW w:w="1223" w:type="dxa"/>
            <w:tcBorders>
              <w:top w:val="single" w:color="auto" w:sz="8" w:space="0"/>
              <w:left w:val="single" w:color="auto" w:sz="8" w:space="0"/>
              <w:bottom w:val="nil"/>
              <w:right w:val="single" w:color="auto" w:sz="4"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课次</w:t>
            </w:r>
          </w:p>
        </w:tc>
        <w:tc>
          <w:tcPr>
            <w:tcW w:w="911" w:type="dxa"/>
            <w:tcBorders>
              <w:top w:val="single" w:color="auto" w:sz="8" w:space="0"/>
              <w:left w:val="nil"/>
              <w:bottom w:val="nil"/>
              <w:right w:val="nil"/>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序号</w:t>
            </w:r>
          </w:p>
        </w:tc>
        <w:tc>
          <w:tcPr>
            <w:tcW w:w="4454" w:type="dxa"/>
            <w:tcBorders>
              <w:top w:val="single" w:color="auto" w:sz="8" w:space="0"/>
              <w:left w:val="single" w:color="auto" w:sz="8" w:space="0"/>
              <w:bottom w:val="nil"/>
              <w:right w:val="single" w:color="auto" w:sz="8"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课程</w:t>
            </w:r>
          </w:p>
        </w:tc>
        <w:tc>
          <w:tcPr>
            <w:tcW w:w="1696" w:type="dxa"/>
            <w:tcBorders>
              <w:top w:val="single" w:color="auto" w:sz="8" w:space="0"/>
              <w:left w:val="nil"/>
              <w:bottom w:val="nil"/>
              <w:right w:val="single" w:color="auto" w:sz="4"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讲师&amp;嘉宾</w:t>
            </w:r>
          </w:p>
        </w:tc>
        <w:tc>
          <w:tcPr>
            <w:tcW w:w="2146" w:type="dxa"/>
            <w:tcBorders>
              <w:top w:val="single" w:color="auto" w:sz="8" w:space="0"/>
              <w:left w:val="nil"/>
              <w:bottom w:val="nil"/>
              <w:right w:val="single" w:color="auto" w:sz="8" w:space="0"/>
            </w:tcBorders>
            <w:shd w:val="clear" w:color="auto" w:fill="0E335B"/>
            <w:vAlign w:val="center"/>
          </w:tcPr>
          <w:p>
            <w:pPr>
              <w:widowControl/>
              <w:jc w:val="center"/>
              <w:rPr>
                <w:rFonts w:ascii="黑体" w:hAnsi="黑体" w:eastAsia="黑体" w:cs="宋体"/>
                <w:color w:val="FFFFFF" w:themeColor="background1"/>
                <w:kern w:val="0"/>
                <w:sz w:val="28"/>
                <w:szCs w:val="28"/>
                <w14:textFill>
                  <w14:solidFill>
                    <w14:schemeClr w14:val="bg1"/>
                  </w14:solidFill>
                </w14:textFill>
              </w:rPr>
            </w:pPr>
            <w:r>
              <w:rPr>
                <w:rFonts w:hint="eastAsia" w:ascii="黑体" w:hAnsi="黑体" w:eastAsia="黑体" w:cs="宋体"/>
                <w:color w:val="FFFFFF" w:themeColor="background1"/>
                <w:kern w:val="0"/>
                <w:sz w:val="28"/>
                <w:szCs w:val="28"/>
                <w14:textFill>
                  <w14:solidFill>
                    <w14:schemeClr w14:val="bg1"/>
                  </w14:solidFill>
                </w14:textFill>
              </w:rPr>
              <w:t>授课时间</w:t>
            </w:r>
          </w:p>
        </w:tc>
      </w:tr>
      <w:tr>
        <w:tblPrEx>
          <w:tblCellMar>
            <w:top w:w="0" w:type="dxa"/>
            <w:left w:w="108" w:type="dxa"/>
            <w:bottom w:w="0" w:type="dxa"/>
            <w:right w:w="108" w:type="dxa"/>
          </w:tblCellMar>
        </w:tblPrEx>
        <w:trPr>
          <w:trHeight w:val="614" w:hRule="atLeast"/>
        </w:trPr>
        <w:tc>
          <w:tcPr>
            <w:tcW w:w="1223"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第一次课</w:t>
            </w:r>
          </w:p>
        </w:tc>
        <w:tc>
          <w:tcPr>
            <w:tcW w:w="911" w:type="dxa"/>
            <w:tcBorders>
              <w:top w:val="single" w:color="auto" w:sz="8" w:space="0"/>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4454"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构建符合时代资产逻辑的财富管理能力</w:t>
            </w:r>
          </w:p>
        </w:tc>
        <w:tc>
          <w:tcPr>
            <w:tcW w:w="169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王忠民</w:t>
            </w:r>
          </w:p>
        </w:tc>
        <w:tc>
          <w:tcPr>
            <w:tcW w:w="214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614"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深圳金融高质量发展与国际财富管理中心建设：ESG和银发经济的视角</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何杰</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60"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资产定价与资产配置</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舒涛</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620"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445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金融科技与财富管理：技术生态构建</w:t>
            </w:r>
          </w:p>
        </w:tc>
        <w:tc>
          <w:tcPr>
            <w:tcW w:w="1696"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杨俊逸、桂征辉、李鹏</w:t>
            </w:r>
          </w:p>
        </w:tc>
        <w:tc>
          <w:tcPr>
            <w:tcW w:w="2146"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60" w:hRule="atLeast"/>
        </w:trPr>
        <w:tc>
          <w:tcPr>
            <w:tcW w:w="1223" w:type="dxa"/>
            <w:vMerge w:val="restart"/>
            <w:tcBorders>
              <w:top w:val="nil"/>
              <w:left w:val="single" w:color="auto" w:sz="8" w:space="0"/>
              <w:bottom w:val="nil"/>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第二次课</w:t>
            </w: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转型与增长：当前宏观形势分析</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唐杰</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60" w:hRule="atLeast"/>
        </w:trPr>
        <w:tc>
          <w:tcPr>
            <w:tcW w:w="1223"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深圳金融“十四五”规划解读</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盛杨怿</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60" w:hRule="atLeast"/>
        </w:trPr>
        <w:tc>
          <w:tcPr>
            <w:tcW w:w="1223"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第三支柱与保险资管投资结构优化</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韩向荣</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1542" w:hRule="atLeast"/>
        </w:trPr>
        <w:tc>
          <w:tcPr>
            <w:tcW w:w="1223" w:type="dxa"/>
            <w:vMerge w:val="continue"/>
            <w:tcBorders>
              <w:top w:val="nil"/>
              <w:left w:val="single" w:color="auto" w:sz="8" w:space="0"/>
              <w:bottom w:val="nil"/>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nil"/>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4454" w:type="dxa"/>
            <w:tcBorders>
              <w:top w:val="nil"/>
              <w:left w:val="single" w:color="auto" w:sz="8" w:space="0"/>
              <w:bottom w:val="nil"/>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大财富管理趋势下机构的差异化竞争发展之路</w:t>
            </w:r>
          </w:p>
        </w:tc>
        <w:tc>
          <w:tcPr>
            <w:tcW w:w="1696" w:type="dxa"/>
            <w:tcBorders>
              <w:top w:val="nil"/>
              <w:left w:val="nil"/>
              <w:bottom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主持人/姜跃龙;</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嘉宾/熊志钢、</w:t>
            </w:r>
            <w:r>
              <w:rPr>
                <w:rFonts w:hint="eastAsia" w:ascii="仿宋_GB2312" w:hAnsi="等线" w:eastAsia="仿宋_GB2312" w:cs="宋体"/>
                <w:color w:val="000000"/>
                <w:kern w:val="0"/>
                <w:sz w:val="24"/>
              </w:rPr>
              <w:br w:type="textWrapping"/>
            </w:r>
            <w:r>
              <w:rPr>
                <w:rFonts w:hint="eastAsia" w:ascii="仿宋_GB2312" w:hAnsi="等线" w:eastAsia="仿宋_GB2312" w:cs="宋体"/>
                <w:color w:val="000000"/>
                <w:kern w:val="0"/>
                <w:sz w:val="24"/>
              </w:rPr>
              <w:t>王鸿嫔、韩刚、王东洋</w:t>
            </w:r>
          </w:p>
        </w:tc>
        <w:tc>
          <w:tcPr>
            <w:tcW w:w="2146" w:type="dxa"/>
            <w:tcBorders>
              <w:top w:val="nil"/>
              <w:left w:val="nil"/>
              <w:bottom w:val="nil"/>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60" w:hRule="atLeast"/>
        </w:trPr>
        <w:tc>
          <w:tcPr>
            <w:tcW w:w="1223"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第三次课</w:t>
            </w:r>
          </w:p>
        </w:tc>
        <w:tc>
          <w:tcPr>
            <w:tcW w:w="911" w:type="dxa"/>
            <w:tcBorders>
              <w:top w:val="single" w:color="auto" w:sz="8" w:space="0"/>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4454"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瑞银集团财富管理业务发展实践</w:t>
            </w:r>
          </w:p>
        </w:tc>
        <w:tc>
          <w:tcPr>
            <w:tcW w:w="169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钱于军</w:t>
            </w:r>
          </w:p>
        </w:tc>
        <w:tc>
          <w:tcPr>
            <w:tcW w:w="214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614"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招行私人银行发展经验及大财富管理生态构建</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王晏蓉</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周六</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560"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4"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4454" w:type="dxa"/>
            <w:tcBorders>
              <w:top w:val="nil"/>
              <w:left w:val="single" w:color="auto" w:sz="8" w:space="0"/>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大湾区跨境理财业务发展</w:t>
            </w:r>
          </w:p>
        </w:tc>
        <w:tc>
          <w:tcPr>
            <w:tcW w:w="16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李升高</w:t>
            </w:r>
          </w:p>
        </w:tc>
        <w:tc>
          <w:tcPr>
            <w:tcW w:w="2146" w:type="dxa"/>
            <w:tcBorders>
              <w:top w:val="nil"/>
              <w:left w:val="nil"/>
              <w:bottom w:val="single" w:color="auto" w:sz="4"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（9:00-12:00）</w:t>
            </w:r>
          </w:p>
        </w:tc>
      </w:tr>
      <w:tr>
        <w:tblPrEx>
          <w:tblCellMar>
            <w:top w:w="0" w:type="dxa"/>
            <w:left w:w="108" w:type="dxa"/>
            <w:bottom w:w="0" w:type="dxa"/>
            <w:right w:w="108" w:type="dxa"/>
          </w:tblCellMar>
        </w:tblPrEx>
        <w:trPr>
          <w:trHeight w:val="567" w:hRule="atLeast"/>
        </w:trPr>
        <w:tc>
          <w:tcPr>
            <w:tcW w:w="1223"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等线" w:hAnsi="等线" w:eastAsia="等线" w:cs="宋体"/>
                <w:color w:val="000000"/>
                <w:kern w:val="0"/>
                <w:sz w:val="22"/>
                <w:szCs w:val="22"/>
              </w:rPr>
            </w:pPr>
          </w:p>
        </w:tc>
        <w:tc>
          <w:tcPr>
            <w:tcW w:w="911" w:type="dxa"/>
            <w:tcBorders>
              <w:top w:val="nil"/>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4454"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深圳打造国际财富管理中心的机遇与路径</w:t>
            </w:r>
          </w:p>
        </w:tc>
        <w:tc>
          <w:tcPr>
            <w:tcW w:w="1696"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本期学员</w:t>
            </w:r>
          </w:p>
        </w:tc>
        <w:tc>
          <w:tcPr>
            <w:tcW w:w="2146" w:type="dxa"/>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周天</w:t>
            </w:r>
            <w:r>
              <w:rPr>
                <w:rFonts w:hint="eastAsia" w:ascii="等线" w:hAnsi="等线" w:eastAsia="等线" w:cs="宋体"/>
                <w:color w:val="000000"/>
                <w:kern w:val="0"/>
                <w:sz w:val="22"/>
                <w:szCs w:val="22"/>
              </w:rPr>
              <w:br w:type="textWrapping"/>
            </w:r>
            <w:r>
              <w:rPr>
                <w:rFonts w:hint="eastAsia" w:ascii="等线" w:hAnsi="等线" w:eastAsia="等线" w:cs="宋体"/>
                <w:color w:val="000000"/>
                <w:kern w:val="0"/>
                <w:sz w:val="22"/>
                <w:szCs w:val="22"/>
              </w:rPr>
              <w:t>（14:30-17:30）</w:t>
            </w:r>
          </w:p>
        </w:tc>
      </w:tr>
      <w:tr>
        <w:tblPrEx>
          <w:tblCellMar>
            <w:top w:w="0" w:type="dxa"/>
            <w:left w:w="108" w:type="dxa"/>
            <w:bottom w:w="0" w:type="dxa"/>
            <w:right w:w="108" w:type="dxa"/>
          </w:tblCellMar>
        </w:tblPrEx>
        <w:trPr>
          <w:trHeight w:val="619" w:hRule="atLeast"/>
        </w:trPr>
        <w:tc>
          <w:tcPr>
            <w:tcW w:w="1223" w:type="dxa"/>
            <w:tcBorders>
              <w:top w:val="nil"/>
              <w:left w:val="single" w:color="auto" w:sz="8" w:space="0"/>
              <w:bottom w:val="nil"/>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团建活动</w:t>
            </w:r>
          </w:p>
        </w:tc>
        <w:tc>
          <w:tcPr>
            <w:tcW w:w="911" w:type="dxa"/>
            <w:tcBorders>
              <w:top w:val="nil"/>
              <w:left w:val="nil"/>
              <w:bottom w:val="nil"/>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4454" w:type="dxa"/>
            <w:tcBorders>
              <w:top w:val="nil"/>
              <w:left w:val="single" w:color="auto" w:sz="8" w:space="0"/>
              <w:bottom w:val="nil"/>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旱地冰壶/皮划艇竞赛</w:t>
            </w:r>
          </w:p>
        </w:tc>
        <w:tc>
          <w:tcPr>
            <w:tcW w:w="1696" w:type="dxa"/>
            <w:tcBorders>
              <w:top w:val="nil"/>
              <w:left w:val="nil"/>
              <w:bottom w:val="nil"/>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仿宋_GB2312" w:hAnsi="等线" w:eastAsia="仿宋_GB2312" w:cs="宋体"/>
                <w:color w:val="000000"/>
                <w:kern w:val="0"/>
                <w:sz w:val="24"/>
              </w:rPr>
              <w:t>本期学员</w:t>
            </w:r>
          </w:p>
        </w:tc>
        <w:tc>
          <w:tcPr>
            <w:tcW w:w="2146" w:type="dxa"/>
            <w:tcBorders>
              <w:top w:val="nil"/>
              <w:left w:val="nil"/>
              <w:bottom w:val="nil"/>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半天</w:t>
            </w:r>
          </w:p>
        </w:tc>
      </w:tr>
      <w:tr>
        <w:tblPrEx>
          <w:tblCellMar>
            <w:top w:w="0" w:type="dxa"/>
            <w:left w:w="108" w:type="dxa"/>
            <w:bottom w:w="0" w:type="dxa"/>
            <w:right w:w="108" w:type="dxa"/>
          </w:tblCellMar>
        </w:tblPrEx>
        <w:trPr>
          <w:trHeight w:val="556" w:hRule="atLeast"/>
        </w:trPr>
        <w:tc>
          <w:tcPr>
            <w:tcW w:w="1223"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企业参访</w:t>
            </w:r>
          </w:p>
        </w:tc>
        <w:tc>
          <w:tcPr>
            <w:tcW w:w="911" w:type="dxa"/>
            <w:tcBorders>
              <w:top w:val="single" w:color="auto" w:sz="8" w:space="0"/>
              <w:left w:val="nil"/>
              <w:bottom w:val="single" w:color="auto" w:sz="8" w:space="0"/>
              <w:right w:val="nil"/>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445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rPr>
              <w:t>深圳天使母基金及天使荟</w:t>
            </w:r>
          </w:p>
        </w:tc>
        <w:tc>
          <w:tcPr>
            <w:tcW w:w="1696"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企业相关领导</w:t>
            </w:r>
          </w:p>
        </w:tc>
        <w:tc>
          <w:tcPr>
            <w:tcW w:w="214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半天</w:t>
            </w:r>
          </w:p>
        </w:tc>
      </w:tr>
    </w:tbl>
    <w:p>
      <w:pPr>
        <w:jc w:val="both"/>
        <w:rPr>
          <w:rFonts w:hint="eastAsia"/>
          <w:lang w:val="en-US" w:eastAsia="zh-CN"/>
        </w:rPr>
      </w:pPr>
      <w:r>
        <w:rPr>
          <w:rFonts w:hint="eastAsia"/>
          <w:lang w:val="en-US" w:eastAsia="zh-CN"/>
        </w:rPr>
        <w:t>（备注</w:t>
      </w:r>
      <w:r>
        <w:rPr>
          <w:rFonts w:hint="eastAsia" w:ascii="楷体" w:hAnsi="楷体" w:eastAsia="楷体"/>
          <w:sz w:val="24"/>
        </w:rPr>
        <w:t>：上述时间安排为计划安排，实际授课会根据讲师及课程的实际执行进行调整，但基本保证周末时间上课。</w:t>
      </w:r>
      <w:r>
        <w:rPr>
          <w:rFonts w:hint="eastAsia"/>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theme="minorBidi"/>
          <w:b/>
          <w:bCs/>
          <w:color w:val="auto"/>
          <w:kern w:val="2"/>
          <w:sz w:val="32"/>
          <w:szCs w:val="32"/>
          <w:lang w:val="en-US" w:eastAsia="zh-CN" w:bidi="ar-SA"/>
        </w:rPr>
      </w:pPr>
    </w:p>
    <w:p>
      <w:pPr>
        <w:rPr>
          <w:rFonts w:hint="eastAsia" w:ascii="黑体" w:hAnsi="黑体" w:eastAsia="黑体" w:cstheme="minorBidi"/>
          <w:b/>
          <w:bCs/>
          <w:color w:val="auto"/>
          <w:kern w:val="2"/>
          <w:sz w:val="32"/>
          <w:szCs w:val="32"/>
          <w:lang w:val="en-US" w:eastAsia="zh-CN" w:bidi="ar-SA"/>
        </w:rPr>
      </w:pPr>
    </w:p>
    <w:p>
      <w:pPr>
        <w:numPr>
          <w:ilvl w:val="0"/>
          <w:numId w:val="4"/>
        </w:numPr>
        <w:ind w:left="420" w:leftChars="0" w:hanging="420" w:firstLineChars="0"/>
        <w:jc w:val="center"/>
        <w:rPr>
          <w:rFonts w:hint="eastAsia" w:ascii="黑体" w:hAnsi="黑体" w:eastAsia="黑体"/>
          <w:b/>
          <w:bCs/>
          <w:sz w:val="36"/>
          <w:szCs w:val="36"/>
        </w:rPr>
      </w:pPr>
      <w:r>
        <w:rPr>
          <w:rFonts w:hint="eastAsia" w:ascii="黑体" w:hAnsi="黑体" w:eastAsia="黑体"/>
          <w:b/>
          <w:bCs/>
          <w:sz w:val="36"/>
          <w:szCs w:val="36"/>
        </w:rPr>
        <w:t>第三部分 缴费、考核及其他事项</w:t>
      </w:r>
    </w:p>
    <w:p>
      <w:pPr>
        <w:spacing w:before="240"/>
        <w:ind w:firstLine="640" w:firstLineChars="200"/>
        <w:rPr>
          <w:rFonts w:ascii="黑体" w:hAnsi="黑体" w:eastAsia="黑体"/>
          <w:b w:val="0"/>
          <w:bCs w:val="0"/>
          <w:sz w:val="32"/>
          <w:szCs w:val="32"/>
        </w:rPr>
      </w:pPr>
      <w:r>
        <w:rPr>
          <w:rFonts w:hint="eastAsia" w:ascii="黑体" w:hAnsi="黑体" w:eastAsia="黑体"/>
          <w:b w:val="0"/>
          <w:bCs w:val="0"/>
          <w:sz w:val="32"/>
          <w:szCs w:val="32"/>
        </w:rPr>
        <w:t>一、考核要求</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（一）考勤达标</w:t>
      </w:r>
    </w:p>
    <w:p>
      <w:pPr>
        <w:spacing w:line="360" w:lineRule="auto"/>
        <w:ind w:firstLine="640" w:firstLineChars="200"/>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总课时为36课时，学员缺勤次数不得超过6课时，即总学时的1/6。</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（二）提交学习报告</w:t>
      </w:r>
    </w:p>
    <w:p>
      <w:pPr>
        <w:spacing w:line="360" w:lineRule="auto"/>
        <w:ind w:firstLine="640" w:firstLineChars="200"/>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结业前，学员以组成课题小组的形式提交1篇课题报告。</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（三）考核结果运用</w:t>
      </w:r>
    </w:p>
    <w:p>
      <w:pPr>
        <w:spacing w:line="360" w:lineRule="auto"/>
        <w:ind w:firstLine="640" w:firstLineChars="200"/>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享受财政补贴的学员考勤达标且提交学习报告的，才可享受培养经费资助。</w:t>
      </w:r>
    </w:p>
    <w:p>
      <w:pPr>
        <w:spacing w:line="360" w:lineRule="auto"/>
        <w:ind w:firstLine="420" w:firstLineChars="200"/>
      </w:pP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二、学费缴纳</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（一）费用标准</w:t>
      </w:r>
    </w:p>
    <w:p>
      <w:pPr>
        <w:spacing w:line="360" w:lineRule="auto"/>
        <w:ind w:left="1" w:firstLine="640" w:firstLineChars="200"/>
        <w:rPr>
          <w:rFonts w:ascii="仿宋_GB2312" w:hAnsi="楷体" w:eastAsia="仿宋_GB2312"/>
          <w:sz w:val="32"/>
          <w:szCs w:val="32"/>
        </w:rPr>
      </w:pPr>
      <w:r>
        <w:rPr>
          <w:rFonts w:ascii="仿宋_GB2312" w:hAnsi="楷体" w:eastAsia="仿宋_GB2312"/>
          <w:sz w:val="32"/>
          <w:szCs w:val="32"/>
        </w:rPr>
        <w:t>2022年深圳市金融骨干人才培养计划系列专题研修班</w:t>
      </w:r>
      <w:r>
        <w:rPr>
          <w:rFonts w:hint="eastAsia" w:ascii="仿宋_GB2312" w:hAnsi="楷体" w:eastAsia="仿宋_GB2312"/>
          <w:sz w:val="32"/>
          <w:szCs w:val="32"/>
        </w:rPr>
        <w:t>学费为</w:t>
      </w:r>
      <w:r>
        <w:rPr>
          <w:rFonts w:hint="eastAsia" w:ascii="仿宋_GB2312" w:hAnsi="楷体" w:eastAsia="仿宋_GB2312"/>
          <w:color w:val="auto"/>
          <w:sz w:val="32"/>
          <w:szCs w:val="32"/>
        </w:rPr>
        <w:t>1</w:t>
      </w:r>
      <w:r>
        <w:rPr>
          <w:rFonts w:ascii="仿宋_GB2312" w:hAnsi="楷体" w:eastAsia="仿宋_GB2312"/>
          <w:color w:val="auto"/>
          <w:sz w:val="32"/>
          <w:szCs w:val="32"/>
        </w:rPr>
        <w:t>5000</w:t>
      </w:r>
      <w:r>
        <w:rPr>
          <w:rFonts w:hint="eastAsia" w:ascii="仿宋_GB2312" w:hAnsi="楷体" w:eastAsia="仿宋_GB2312"/>
          <w:sz w:val="32"/>
          <w:szCs w:val="32"/>
        </w:rPr>
        <w:t>元/人，学费含师资费、场地费、餐费（上课期间工作餐）、学习资料费、团建活动费、项目管理费等。其中</w:t>
      </w:r>
      <w:r>
        <w:rPr>
          <w:rFonts w:hint="eastAsia" w:ascii="仿宋_GB2312" w:hAnsi="仿宋_GB2312" w:eastAsia="仿宋_GB2312" w:cs="仿宋_GB2312"/>
          <w:color w:val="333333"/>
          <w:kern w:val="0"/>
          <w:sz w:val="32"/>
          <w:szCs w:val="32"/>
          <w:shd w:val="clear" w:color="auto" w:fill="FFFFFF"/>
        </w:rPr>
        <w:t>财政补贴学员先行缴纳全额学费，项目结业到达考核标准，发放财政补贴1万元/人。</w:t>
      </w:r>
      <w:r>
        <w:rPr>
          <w:rFonts w:hint="eastAsia" w:ascii="仿宋_GB2312" w:hAnsi="楷体" w:eastAsia="仿宋_GB2312"/>
          <w:sz w:val="32"/>
          <w:szCs w:val="32"/>
        </w:rPr>
        <w:t>非财政补贴学员需自费缴纳全额学费1</w:t>
      </w:r>
      <w:r>
        <w:rPr>
          <w:rFonts w:ascii="仿宋_GB2312" w:hAnsi="楷体" w:eastAsia="仿宋_GB2312"/>
          <w:sz w:val="32"/>
          <w:szCs w:val="32"/>
        </w:rPr>
        <w:t>5000</w:t>
      </w:r>
      <w:r>
        <w:rPr>
          <w:rFonts w:hint="eastAsia" w:ascii="仿宋_GB2312" w:hAnsi="楷体" w:eastAsia="仿宋_GB2312"/>
          <w:sz w:val="32"/>
          <w:szCs w:val="32"/>
        </w:rPr>
        <w:t>元。</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（二）收款账号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收款单位:深圳市金融稳定发展研究院</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开户银行：中国银行股份有限公司深圳南头支行</w:t>
      </w:r>
    </w:p>
    <w:p>
      <w:pPr>
        <w:spacing w:line="360" w:lineRule="auto"/>
        <w:ind w:left="1" w:firstLine="640" w:firstLineChars="200"/>
        <w:rPr>
          <w:rFonts w:hint="eastAsia" w:ascii="仿宋_GB2312" w:hAnsi="楷体" w:eastAsia="仿宋_GB2312"/>
          <w:sz w:val="32"/>
          <w:szCs w:val="32"/>
        </w:rPr>
      </w:pPr>
      <w:r>
        <w:rPr>
          <w:rFonts w:hint="eastAsia" w:ascii="仿宋_GB2312" w:hAnsi="楷体" w:eastAsia="仿宋_GB2312"/>
          <w:sz w:val="32"/>
          <w:szCs w:val="32"/>
        </w:rPr>
        <w:t>账    号：7484 7141 5624</w:t>
      </w:r>
    </w:p>
    <w:p>
      <w:pPr>
        <w:spacing w:line="360" w:lineRule="auto"/>
        <w:ind w:left="1" w:firstLine="640" w:firstLineChars="200"/>
        <w:rPr>
          <w:rFonts w:hint="eastAsia" w:ascii="仿宋_GB2312" w:hAnsi="楷体" w:eastAsia="仿宋_GB2312"/>
          <w:sz w:val="32"/>
          <w:szCs w:val="32"/>
        </w:rPr>
      </w:pPr>
      <w:r>
        <w:rPr>
          <w:rFonts w:hint="eastAsia" w:ascii="仿宋_GB2312" w:hAnsi="楷体" w:eastAsia="仿宋_GB2312"/>
          <w:sz w:val="32"/>
          <w:szCs w:val="32"/>
        </w:rPr>
        <w:t>税</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rPr>
        <w:t>号：1244 0300 MB2C 8746 2P</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转账需备注：2022年深圳市金融骨干人才研修班+单位+学员姓名</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（三）发票开具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需要提供：发票类型（</w:t>
      </w:r>
      <w:r>
        <w:rPr>
          <w:rFonts w:hint="eastAsia" w:ascii="仿宋_GB2312" w:hAnsi="楷体" w:eastAsia="仿宋_GB2312"/>
          <w:sz w:val="32"/>
          <w:szCs w:val="32"/>
          <w:lang w:val="en-US" w:eastAsia="zh-CN"/>
        </w:rPr>
        <w:t>研究院</w:t>
      </w:r>
      <w:r>
        <w:rPr>
          <w:rFonts w:hint="eastAsia" w:ascii="仿宋_GB2312" w:hAnsi="楷体" w:eastAsia="仿宋_GB2312"/>
          <w:sz w:val="32"/>
          <w:szCs w:val="32"/>
          <w:lang w:eastAsia="zh-CN"/>
        </w:rPr>
        <w:t>开具增值税普通发票</w:t>
      </w:r>
      <w:r>
        <w:rPr>
          <w:rFonts w:hint="eastAsia" w:ascii="仿宋_GB2312" w:hAnsi="楷体" w:eastAsia="仿宋_GB2312"/>
          <w:sz w:val="32"/>
          <w:szCs w:val="32"/>
        </w:rPr>
        <w:t>）、单位名称、纳税人识别号、地址、联系电话、开户银行、银行账号。</w:t>
      </w:r>
    </w:p>
    <w:p>
      <w:pPr>
        <w:spacing w:line="360" w:lineRule="auto"/>
        <w:ind w:left="1"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（四）联系方式</w:t>
      </w:r>
    </w:p>
    <w:p>
      <w:pPr>
        <w:spacing w:line="360" w:lineRule="auto"/>
        <w:ind w:left="1" w:firstLine="640" w:firstLineChars="200"/>
        <w:rPr>
          <w:rFonts w:ascii="仿宋_GB2312" w:hAnsi="仿宋_GB2312" w:eastAsia="仿宋_GB2312" w:cs="仿宋_GB2312"/>
          <w:sz w:val="30"/>
          <w:szCs w:val="30"/>
        </w:rPr>
      </w:pPr>
      <w:r>
        <w:rPr>
          <w:rFonts w:hint="eastAsia" w:ascii="仿宋_GB2312" w:hAnsi="楷体" w:eastAsia="仿宋_GB2312"/>
          <w:sz w:val="32"/>
          <w:szCs w:val="32"/>
        </w:rPr>
        <w:t>联系人</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王润苗15093496623、尹赫</w:t>
      </w:r>
      <w:r>
        <w:rPr>
          <w:rFonts w:ascii="仿宋_GB2312" w:hAnsi="仿宋_GB2312" w:eastAsia="仿宋_GB2312" w:cs="仿宋_GB2312"/>
          <w:sz w:val="30"/>
          <w:szCs w:val="30"/>
        </w:rPr>
        <w:t>18665881287</w:t>
      </w:r>
    </w:p>
    <w:p>
      <w:pPr>
        <w:spacing w:line="360" w:lineRule="auto"/>
        <w:ind w:left="1"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电</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rPr>
        <w:t>话：0755-</w:t>
      </w:r>
      <w:r>
        <w:rPr>
          <w:rFonts w:hint="eastAsia" w:ascii="仿宋_GB2312" w:hAnsi="楷体" w:eastAsia="仿宋_GB2312"/>
          <w:sz w:val="32"/>
          <w:szCs w:val="32"/>
          <w:lang w:val="en-US" w:eastAsia="zh-CN"/>
        </w:rPr>
        <w:t>83994960、</w:t>
      </w:r>
      <w:r>
        <w:rPr>
          <w:rFonts w:hint="eastAsia" w:ascii="仿宋_GB2312" w:hAnsi="楷体" w:eastAsia="仿宋_GB2312"/>
          <w:sz w:val="32"/>
          <w:szCs w:val="32"/>
        </w:rPr>
        <w:t>0755-83994958</w:t>
      </w:r>
      <w:r>
        <w:rPr>
          <w:rFonts w:hint="eastAsia" w:ascii="仿宋_GB2312" w:hAnsi="楷体" w:eastAsia="仿宋_GB2312"/>
          <w:sz w:val="32"/>
          <w:szCs w:val="32"/>
          <w:lang w:val="en-US" w:eastAsia="zh-CN"/>
        </w:rPr>
        <w:t>；</w:t>
      </w:r>
    </w:p>
    <w:p>
      <w:pPr>
        <w:spacing w:line="360" w:lineRule="auto"/>
        <w:ind w:left="1"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邮</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rPr>
        <w:t>箱：</w:t>
      </w:r>
      <w:r>
        <w:rPr>
          <w:rFonts w:hint="eastAsia" w:ascii="仿宋_GB2312" w:hAnsi="楷体" w:eastAsia="仿宋_GB2312"/>
          <w:sz w:val="32"/>
          <w:szCs w:val="32"/>
          <w:lang w:val="en-US" w:eastAsia="zh-CN"/>
        </w:rPr>
        <w:t>1587209954@qq.com、</w:t>
      </w:r>
      <w:r>
        <w:rPr>
          <w:rFonts w:hint="eastAsia" w:ascii="仿宋_GB2312" w:hAnsi="楷体" w:eastAsia="仿宋_GB2312"/>
          <w:sz w:val="32"/>
          <w:szCs w:val="32"/>
        </w:rPr>
        <w:fldChar w:fldCharType="begin"/>
      </w:r>
      <w:r>
        <w:rPr>
          <w:rFonts w:hint="eastAsia" w:ascii="仿宋_GB2312" w:hAnsi="楷体" w:eastAsia="仿宋_GB2312"/>
          <w:sz w:val="32"/>
          <w:szCs w:val="32"/>
        </w:rPr>
        <w:instrText xml:space="preserve"> HYPERLINK "mailto:brianyinhe@163.com" </w:instrText>
      </w:r>
      <w:r>
        <w:rPr>
          <w:rFonts w:hint="eastAsia" w:ascii="仿宋_GB2312" w:hAnsi="楷体" w:eastAsia="仿宋_GB2312"/>
          <w:sz w:val="32"/>
          <w:szCs w:val="32"/>
        </w:rPr>
        <w:fldChar w:fldCharType="separate"/>
      </w:r>
      <w:r>
        <w:rPr>
          <w:rFonts w:hint="eastAsia" w:ascii="仿宋_GB2312" w:hAnsi="楷体" w:eastAsia="仿宋_GB2312"/>
          <w:sz w:val="32"/>
          <w:szCs w:val="32"/>
        </w:rPr>
        <w:t>brianyinhe@163.com</w:t>
      </w:r>
      <w:r>
        <w:rPr>
          <w:rFonts w:hint="eastAsia" w:ascii="仿宋_GB2312" w:hAnsi="楷体" w:eastAsia="仿宋_GB2312"/>
          <w:sz w:val="32"/>
          <w:szCs w:val="32"/>
        </w:rPr>
        <w:fldChar w:fldCharType="end"/>
      </w:r>
      <w:r>
        <w:rPr>
          <w:rFonts w:hint="eastAsia" w:ascii="仿宋_GB2312" w:hAnsi="楷体" w:eastAsia="仿宋_GB2312"/>
          <w:sz w:val="32"/>
          <w:szCs w:val="32"/>
          <w:lang w:eastAsia="zh-CN"/>
        </w:rPr>
        <w:t>，</w:t>
      </w:r>
    </w:p>
    <w:p>
      <w:pPr>
        <w:spacing w:line="360" w:lineRule="auto"/>
        <w:ind w:left="1" w:firstLine="640" w:firstLineChars="200"/>
        <w:rPr>
          <w:rFonts w:hint="default"/>
          <w:lang w:val="en-US" w:eastAsia="zh-CN"/>
        </w:rPr>
      </w:pPr>
      <w:r>
        <w:rPr>
          <w:rFonts w:hint="eastAsia" w:ascii="仿宋_GB2312" w:hAnsi="楷体" w:eastAsia="仿宋_GB2312"/>
          <w:sz w:val="32"/>
          <w:szCs w:val="32"/>
        </w:rPr>
        <w:t>地</w:t>
      </w:r>
      <w:r>
        <w:rPr>
          <w:rFonts w:hint="eastAsia" w:ascii="仿宋_GB2312" w:hAnsi="楷体" w:eastAsia="仿宋_GB2312"/>
          <w:sz w:val="32"/>
          <w:szCs w:val="32"/>
          <w:lang w:val="en-US" w:eastAsia="zh-CN"/>
        </w:rPr>
        <w:t xml:space="preserve">  </w:t>
      </w:r>
      <w:r>
        <w:rPr>
          <w:rFonts w:hint="eastAsia" w:ascii="仿宋_GB2312" w:hAnsi="楷体" w:eastAsia="仿宋_GB2312"/>
          <w:sz w:val="32"/>
          <w:szCs w:val="32"/>
        </w:rPr>
        <w:t>址：深圳市福田区国际创新中心B座12层</w:t>
      </w:r>
    </w:p>
    <w:p>
      <w:r>
        <w:rPr>
          <w:rFonts w:hint="eastAsia"/>
        </w:rPr>
        <w:t xml:space="preserve"> </w:t>
      </w:r>
    </w:p>
    <w:p>
      <w:pPr>
        <w:numPr>
          <w:ilvl w:val="0"/>
          <w:numId w:val="0"/>
        </w:numPr>
        <w:spacing w:line="360" w:lineRule="auto"/>
        <w:ind w:leftChars="0" w:firstLine="643" w:firstLineChars="200"/>
        <w:jc w:val="left"/>
        <w:rPr>
          <w:rFonts w:hint="eastAsia" w:ascii="黑体" w:hAnsi="黑体" w:eastAsia="黑体"/>
          <w:b/>
          <w:bCs/>
          <w:sz w:val="32"/>
          <w:szCs w:val="32"/>
        </w:rPr>
      </w:pPr>
      <w:r>
        <w:rPr>
          <w:rFonts w:hint="eastAsia" w:ascii="黑体" w:hAnsi="黑体" w:eastAsia="黑体"/>
          <w:b/>
          <w:bCs/>
          <w:sz w:val="32"/>
          <w:szCs w:val="32"/>
          <w:lang w:val="en-US" w:eastAsia="zh-CN"/>
        </w:rPr>
        <w:t>二、</w:t>
      </w:r>
      <w:r>
        <w:rPr>
          <w:rFonts w:hint="eastAsia" w:ascii="黑体" w:hAnsi="黑体" w:eastAsia="黑体"/>
          <w:b/>
          <w:bCs/>
          <w:sz w:val="32"/>
          <w:szCs w:val="32"/>
        </w:rPr>
        <w:t>办学机构简介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深圳市金融稳定发展</w:t>
      </w:r>
      <w:r>
        <w:rPr>
          <w:rFonts w:hint="eastAsia" w:ascii="仿宋_GB2312" w:hAnsi="仿宋_GB2312" w:eastAsia="仿宋_GB2312" w:cs="仿宋_GB2312"/>
          <w:sz w:val="32"/>
          <w:szCs w:val="32"/>
        </w:rPr>
        <w:t>研究院是由深圳市地方金融监督管理局牵头组建并主管的二类事业单位，举办单位包括市金融局、深圳市投资控股有限公司、深圳市福田区金融工作局、深圳市罗湖区金融服务署、深圳市汇通金控基金投资有限公司。全国社会保障基金会理事会原副理事长、西北大学原校长王忠民同志担任理事会理事长。研究院以构建“粤港澳大湾区一流智库”为目标，为深圳金融稳定、开放与创新提供全方位的智力支持、技术支持、监管支持和人才支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深圳市金融稳定发展研究院作为深圳市智库联盟首批成员单位，承担“深港澳金融科技师”专才计划秘书处职责。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（一）人才培训</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研究院承担</w:t>
      </w:r>
      <w:r>
        <w:rPr>
          <w:rFonts w:hint="eastAsia" w:ascii="仿宋_GB2312" w:hAnsi="仿宋_GB2312" w:eastAsia="仿宋_GB2312" w:cs="仿宋_GB2312"/>
          <w:sz w:val="32"/>
          <w:szCs w:val="32"/>
        </w:rPr>
        <w:t>了201</w:t>
      </w:r>
      <w:r>
        <w:rPr>
          <w:rFonts w:hint="eastAsia" w:ascii="仿宋_GB2312" w:hAnsi="仿宋_GB2312" w:eastAsia="仿宋_GB2312" w:cs="仿宋_GB2312"/>
          <w:sz w:val="32"/>
          <w:szCs w:val="32"/>
          <w:lang w:val="en-US" w:eastAsia="zh-CN"/>
        </w:rPr>
        <w:t>9、2020及2021届</w:t>
      </w:r>
      <w:r>
        <w:rPr>
          <w:rFonts w:hint="eastAsia" w:ascii="仿宋_GB2312" w:hAnsi="仿宋_GB2312" w:eastAsia="仿宋_GB2312" w:cs="仿宋_GB2312"/>
          <w:sz w:val="32"/>
          <w:szCs w:val="32"/>
        </w:rPr>
        <w:t>深圳市金融领军人才培训工作，特邀肖钢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刘明康、王忠民、于学军、唐杰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高振怀、</w:t>
      </w:r>
      <w:r>
        <w:rPr>
          <w:rFonts w:hint="eastAsia" w:ascii="仿宋_GB2312" w:hAnsi="仿宋_GB2312" w:eastAsia="仿宋_GB2312" w:cs="仿宋_GB2312"/>
          <w:sz w:val="32"/>
          <w:szCs w:val="32"/>
        </w:rPr>
        <w:t>何杰、</w:t>
      </w:r>
      <w:r>
        <w:rPr>
          <w:rFonts w:hint="eastAsia" w:ascii="仿宋_GB2312" w:hAnsi="仿宋_GB2312" w:eastAsia="仿宋_GB2312" w:cs="仿宋_GB2312"/>
          <w:sz w:val="32"/>
          <w:szCs w:val="32"/>
          <w:lang w:val="en-US" w:eastAsia="zh-CN"/>
        </w:rPr>
        <w:t>张利星、李至斌、</w:t>
      </w:r>
      <w:r>
        <w:rPr>
          <w:rFonts w:hint="eastAsia" w:ascii="仿宋_GB2312" w:hAnsi="仿宋_GB2312" w:eastAsia="仿宋_GB2312" w:cs="仿宋_GB2312"/>
          <w:sz w:val="32"/>
          <w:szCs w:val="32"/>
        </w:rPr>
        <w:t>巴曙松、</w:t>
      </w:r>
      <w:r>
        <w:rPr>
          <w:rFonts w:hint="eastAsia" w:ascii="仿宋_GB2312" w:hAnsi="仿宋_GB2312" w:eastAsia="仿宋_GB2312" w:cs="仿宋_GB2312"/>
          <w:sz w:val="32"/>
          <w:szCs w:val="32"/>
          <w:lang w:val="en-US" w:eastAsia="zh-CN"/>
        </w:rPr>
        <w:t>俞大鹏、</w:t>
      </w:r>
      <w:r>
        <w:rPr>
          <w:rFonts w:hint="eastAsia" w:ascii="仿宋_GB2312" w:hAnsi="仿宋_GB2312" w:eastAsia="仿宋_GB2312" w:cs="仿宋_GB2312"/>
          <w:sz w:val="32"/>
          <w:szCs w:val="32"/>
        </w:rPr>
        <w:t>刘忠朴等重量级领导、嘉宾授课，受到学员的广泛好评。</w:t>
      </w:r>
      <w:r>
        <w:rPr>
          <w:rFonts w:hint="eastAsia" w:ascii="仿宋_GB2312" w:hAnsi="仿宋_GB2312" w:eastAsia="仿宋_GB2312" w:cs="仿宋_GB2312"/>
          <w:sz w:val="32"/>
          <w:szCs w:val="32"/>
          <w:lang w:val="en-US" w:eastAsia="zh-CN"/>
        </w:rPr>
        <w:t>此外，</w:t>
      </w:r>
      <w:r>
        <w:rPr>
          <w:rFonts w:hint="eastAsia" w:ascii="仿宋_GB2312" w:hAnsi="仿宋_GB2312" w:eastAsia="仿宋_GB2312" w:cs="仿宋_GB2312"/>
          <w:sz w:val="32"/>
          <w:szCs w:val="32"/>
        </w:rPr>
        <w:t>深圳市银行业协会、深圳市保险同业公会授牌研究院为“深圳银行业保险业从业人员培训教育基地”</w:t>
      </w:r>
      <w:r>
        <w:rPr>
          <w:rFonts w:hint="eastAsia" w:ascii="仿宋_GB2312" w:hAnsi="仿宋_GB2312" w:eastAsia="仿宋_GB2312" w:cs="仿宋_GB2312"/>
          <w:sz w:val="32"/>
          <w:szCs w:val="32"/>
          <w:lang w:eastAsia="zh-CN"/>
        </w:rPr>
        <w:t>，探索搭建从业人员继续教育平台，建立标准化从业人员课程体系，不断规范从业人员经营行为。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（二）研究创新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自成立以来，研究院承接了30余项课题研究，开展前瞻性、针对性研究。其中，《全球金融科技产业链研究》、《深圳市提升全球性金融中心地位战略研究》、《科技金融深度融合对策研究》、《港深金融合作发展研究》等课题研究起到了大湾区智库战略支撑作用。研究院以国家战略为牵引，与深圳市委政策研究室、深圳市决策咨询委员会、深圳市地方金融监督管理局、深圳市统计局、中国人事科学院、深圳市科创委等合作研究，共同推进深圳金融业全面深化改革扩大开放，在深圳金融可持续发展、打造国际创投中心、规划科技创新等方面，积累大量经验，努力践行新型智库咨政建言、理论创新、社会服务、公共外交的功能，发挥研究院“思想库”、“智囊团”的作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default"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（三）会议论坛</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月，研究院与清华大学五道口金融学院共同举办中国金融风险管理</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月，联合举办第二届粤港澳大湾区资产证券化高峰论坛暨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年资产证券化行业年会，逾</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人参加活动，</w:t>
      </w:r>
      <w:r>
        <w:rPr>
          <w:rFonts w:ascii="仿宋_GB2312" w:hAnsi="仿宋_GB2312" w:eastAsia="仿宋_GB2312" w:cs="仿宋_GB2312"/>
          <w:sz w:val="32"/>
          <w:szCs w:val="32"/>
        </w:rPr>
        <w:t>1100</w:t>
      </w:r>
      <w:r>
        <w:rPr>
          <w:rFonts w:hint="eastAsia" w:ascii="仿宋_GB2312" w:hAnsi="仿宋_GB2312" w:eastAsia="仿宋_GB2312" w:cs="仿宋_GB2312"/>
          <w:sz w:val="32"/>
          <w:szCs w:val="32"/>
        </w:rPr>
        <w:t>余人次线上观看会议。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月，共同主办香蜜湖金融风险管理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年会，超</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人现场参加活动，超</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万人次在线观看，会上成立深圳市首席风险官联盟，王忠民理事长担任联盟理事长。参与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中国（深圳）金融科技全球峰会筹办，并协办分论坛“数据治理创新”，推动成立深圳市金融科技伦理委员会，王忠民理事长担任主任委员。</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黑体" w:hAnsi="黑体" w:eastAsia="黑体" w:cstheme="minorBidi"/>
          <w:b/>
          <w:bCs/>
          <w:color w:val="auto"/>
          <w:kern w:val="2"/>
          <w:sz w:val="32"/>
          <w:szCs w:val="32"/>
          <w:lang w:val="en-US" w:eastAsia="zh-CN" w:bidi="ar-S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0" distR="0" simplePos="0" relativeHeight="251659264" behindDoc="0" locked="0" layoutInCell="1" allowOverlap="1">
          <wp:simplePos x="0" y="0"/>
          <wp:positionH relativeFrom="column">
            <wp:posOffset>3136900</wp:posOffset>
          </wp:positionH>
          <wp:positionV relativeFrom="paragraph">
            <wp:posOffset>-263525</wp:posOffset>
          </wp:positionV>
          <wp:extent cx="2847975" cy="646430"/>
          <wp:effectExtent l="0" t="0" r="1905"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47975" cy="73759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54618"/>
    <w:multiLevelType w:val="singleLevel"/>
    <w:tmpl w:val="B9C54618"/>
    <w:lvl w:ilvl="0" w:tentative="0">
      <w:start w:val="1"/>
      <w:numFmt w:val="bullet"/>
      <w:lvlText w:val=""/>
      <w:lvlJc w:val="left"/>
      <w:pPr>
        <w:ind w:left="420" w:hanging="420"/>
      </w:pPr>
      <w:rPr>
        <w:rFonts w:hint="default" w:ascii="Wingdings" w:hAnsi="Wingdings"/>
      </w:rPr>
    </w:lvl>
  </w:abstractNum>
  <w:abstractNum w:abstractNumId="1">
    <w:nsid w:val="11475D97"/>
    <w:multiLevelType w:val="singleLevel"/>
    <w:tmpl w:val="11475D97"/>
    <w:lvl w:ilvl="0" w:tentative="0">
      <w:start w:val="1"/>
      <w:numFmt w:val="bullet"/>
      <w:lvlText w:val=""/>
      <w:lvlJc w:val="left"/>
      <w:pPr>
        <w:ind w:left="420" w:hanging="420"/>
      </w:pPr>
      <w:rPr>
        <w:rFonts w:hint="default" w:ascii="Wingdings" w:hAnsi="Wingdings"/>
      </w:rPr>
    </w:lvl>
  </w:abstractNum>
  <w:abstractNum w:abstractNumId="2">
    <w:nsid w:val="72C37DF9"/>
    <w:multiLevelType w:val="multilevel"/>
    <w:tmpl w:val="72C37DF9"/>
    <w:lvl w:ilvl="0" w:tentative="0">
      <w:start w:val="1"/>
      <w:numFmt w:val="chineseCountingThousand"/>
      <w:pStyle w:val="2"/>
      <w:lvlText w:val="%1、"/>
      <w:lvlJc w:val="left"/>
      <w:pPr>
        <w:ind w:left="420" w:hanging="420"/>
      </w:pPr>
      <w:rPr>
        <w:rFonts w:hint="eastAsia"/>
      </w:rPr>
    </w:lvl>
    <w:lvl w:ilvl="1" w:tentative="0">
      <w:start w:val="1"/>
      <w:numFmt w:val="decimal"/>
      <w:isLg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F649E5E"/>
    <w:multiLevelType w:val="singleLevel"/>
    <w:tmpl w:val="7F649E5E"/>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MTQ4MGJjOTZlNjQzZTNhMzM2MDdjMWJhODk5M2QifQ=="/>
  </w:docVars>
  <w:rsids>
    <w:rsidRoot w:val="138D2835"/>
    <w:rsid w:val="01671BA8"/>
    <w:rsid w:val="02B76284"/>
    <w:rsid w:val="03936A9A"/>
    <w:rsid w:val="03B846B9"/>
    <w:rsid w:val="04096A1F"/>
    <w:rsid w:val="04434B5A"/>
    <w:rsid w:val="06AE3749"/>
    <w:rsid w:val="086304C4"/>
    <w:rsid w:val="088E237C"/>
    <w:rsid w:val="092C516F"/>
    <w:rsid w:val="0B4004B0"/>
    <w:rsid w:val="0C15279F"/>
    <w:rsid w:val="0E4D67DC"/>
    <w:rsid w:val="1081728E"/>
    <w:rsid w:val="11392998"/>
    <w:rsid w:val="11D57FA5"/>
    <w:rsid w:val="120D40DA"/>
    <w:rsid w:val="138D2835"/>
    <w:rsid w:val="13D12EE6"/>
    <w:rsid w:val="14BB6C25"/>
    <w:rsid w:val="15216180"/>
    <w:rsid w:val="16932FEB"/>
    <w:rsid w:val="18825398"/>
    <w:rsid w:val="1A831885"/>
    <w:rsid w:val="1CA06396"/>
    <w:rsid w:val="1F0B0581"/>
    <w:rsid w:val="220E46E1"/>
    <w:rsid w:val="28C24D00"/>
    <w:rsid w:val="29387BF8"/>
    <w:rsid w:val="2B065092"/>
    <w:rsid w:val="2CEE645F"/>
    <w:rsid w:val="304C79CD"/>
    <w:rsid w:val="313E54E9"/>
    <w:rsid w:val="32D9616A"/>
    <w:rsid w:val="337A3FC9"/>
    <w:rsid w:val="35673FB4"/>
    <w:rsid w:val="360F6D9D"/>
    <w:rsid w:val="3A8F00D5"/>
    <w:rsid w:val="3AD273C0"/>
    <w:rsid w:val="3B6049CB"/>
    <w:rsid w:val="3E3D0751"/>
    <w:rsid w:val="402204A1"/>
    <w:rsid w:val="40E8269B"/>
    <w:rsid w:val="45683684"/>
    <w:rsid w:val="45A03403"/>
    <w:rsid w:val="45C4706A"/>
    <w:rsid w:val="45FF3FF9"/>
    <w:rsid w:val="46160CAC"/>
    <w:rsid w:val="4B507005"/>
    <w:rsid w:val="4BBA7026"/>
    <w:rsid w:val="4D0717DE"/>
    <w:rsid w:val="4D0F6E12"/>
    <w:rsid w:val="4D3C5768"/>
    <w:rsid w:val="52CA1F01"/>
    <w:rsid w:val="58226E39"/>
    <w:rsid w:val="5A4222C5"/>
    <w:rsid w:val="5BFB1E7B"/>
    <w:rsid w:val="5BFC2D95"/>
    <w:rsid w:val="5F512E1E"/>
    <w:rsid w:val="60300C9B"/>
    <w:rsid w:val="60FB2835"/>
    <w:rsid w:val="6290294A"/>
    <w:rsid w:val="62CD5629"/>
    <w:rsid w:val="64036A90"/>
    <w:rsid w:val="641D65E3"/>
    <w:rsid w:val="65ED17E6"/>
    <w:rsid w:val="67142AC6"/>
    <w:rsid w:val="68CA1553"/>
    <w:rsid w:val="6A4731ED"/>
    <w:rsid w:val="6ADF7100"/>
    <w:rsid w:val="6D6F21E6"/>
    <w:rsid w:val="6EA148D7"/>
    <w:rsid w:val="6ECB7DD2"/>
    <w:rsid w:val="74BB4445"/>
    <w:rsid w:val="7AAE2E3B"/>
    <w:rsid w:val="7B716633"/>
    <w:rsid w:val="7DBD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Lines/>
      <w:numPr>
        <w:ilvl w:val="0"/>
        <w:numId w:val="1"/>
      </w:numPr>
      <w:spacing w:beforeLines="50" w:afterLines="50"/>
      <w:outlineLvl w:val="0"/>
    </w:pPr>
    <w:rPr>
      <w:rFonts w:ascii="Times New Roman" w:hAnsi="Times New Roman" w:eastAsia="幼圆" w:cs="Times New Roman"/>
      <w:b/>
      <w:bCs/>
      <w:color w:val="C00000"/>
      <w:kern w:val="44"/>
      <w:sz w:val="32"/>
    </w:rPr>
  </w:style>
  <w:style w:type="paragraph" w:styleId="3">
    <w:name w:val="heading 2"/>
    <w:basedOn w:val="1"/>
    <w:next w:val="1"/>
    <w:qFormat/>
    <w:uiPriority w:val="9"/>
    <w:pPr>
      <w:keepNext/>
      <w:keepLines/>
      <w:widowControl/>
      <w:spacing w:line="240" w:lineRule="atLeast"/>
      <w:jc w:val="left"/>
      <w:outlineLvl w:val="1"/>
    </w:pPr>
    <w:rPr>
      <w:rFonts w:ascii="Verdana" w:hAnsi="Verdana" w:eastAsia="华文细黑" w:cstheme="majorBidi"/>
      <w:b/>
      <w:bCs/>
      <w:color w:val="000000" w:themeColor="text1"/>
      <w:kern w:val="0"/>
      <w:sz w:val="24"/>
      <w:szCs w:val="26"/>
      <w:lang w:eastAsia="en-US"/>
      <w14:textFill>
        <w14:solidFill>
          <w14:schemeClr w14:val="tx1"/>
        </w14:solidFill>
      </w14:textFill>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customStyle="1" w:styleId="12">
    <w:name w:val="二级标题"/>
    <w:basedOn w:val="3"/>
    <w:qFormat/>
    <w:uiPriority w:val="0"/>
    <w:pPr>
      <w:spacing w:line="240" w:lineRule="auto"/>
      <w:ind w:left="1320" w:leftChars="100" w:right="100" w:rightChars="100"/>
    </w:pPr>
    <w:rPr>
      <w:rFonts w:eastAsia="楷体_GB2312"/>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6103</Words>
  <Characters>6593</Characters>
  <Lines>0</Lines>
  <Paragraphs>0</Paragraphs>
  <TotalTime>42</TotalTime>
  <ScaleCrop>false</ScaleCrop>
  <LinksUpToDate>false</LinksUpToDate>
  <CharactersWithSpaces>6639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2022-06-23T02:51:00Z</dcterms:created>
  <dc:creator>润苗Irene</dc:creator>
  <cp:lastModifiedBy>润苗Irene</cp:lastModifiedBy>
  <cp:lastPrinted>2022-07-04T07:01:00Z</cp:lastPrinted>
  <dcterms:modified xsi:type="dcterms:W3CDTF">2022-07-13T10:49:09Z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EA62D43F7AC74B5785568D6888EA80FA</vt:lpwstr>
  </property>
</Properties>
</file>