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eastAsia="黑体" w:cs="Times New Roman"/>
          <w:b/>
          <w:bCs/>
          <w:color w:val="000000" w:themeColor="text1"/>
          <w:kern w:val="44"/>
          <w14:textFill>
            <w14:solidFill>
              <w14:schemeClr w14:val="tx1"/>
            </w14:solidFill>
          </w14:textFill>
        </w:rPr>
      </w:pPr>
      <w:r>
        <w:rPr>
          <w:rFonts w:hint="eastAsia" w:eastAsia="黑体" w:cs="Times New Roman"/>
          <w:color w:val="000000" w:themeColor="text1"/>
          <w:kern w:val="44"/>
          <w14:textFill>
            <w14:solidFill>
              <w14:schemeClr w14:val="tx1"/>
            </w14:solidFill>
          </w14:textFill>
        </w:rPr>
        <w:t>附件3</w:t>
      </w:r>
    </w:p>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深圳市绿色金融协会研修班项目介绍</w:t>
      </w:r>
    </w:p>
    <w:p>
      <w:pPr>
        <w:spacing w:after="240"/>
        <w:ind w:firstLine="0" w:firstLineChars="0"/>
        <w:jc w:val="center"/>
      </w:pPr>
      <w:r>
        <w:rPr>
          <w:rFonts w:hint="eastAsia" w:ascii="方正小标宋简体" w:hAnsi="方正小标宋简体" w:eastAsia="方正小标宋简体" w:cs="方正小标宋简体"/>
          <w:sz w:val="44"/>
          <w:szCs w:val="44"/>
        </w:rPr>
        <w:t>（绿色金融与ESG投资专题项目）</w:t>
      </w:r>
    </w:p>
    <w:p>
      <w:pPr>
        <w:pStyle w:val="2"/>
        <w:numPr>
          <w:ilvl w:val="0"/>
          <w:numId w:val="0"/>
        </w:numPr>
        <w:ind w:left="643"/>
        <w:rPr>
          <w:b w:val="0"/>
          <w:bCs w:val="0"/>
        </w:rPr>
      </w:pPr>
      <w:r>
        <w:rPr>
          <w:rFonts w:hint="eastAsia"/>
          <w:b w:val="0"/>
          <w:bCs w:val="0"/>
        </w:rPr>
        <w:t>一、项目亮点</w:t>
      </w:r>
      <w:bookmarkStart w:id="1" w:name="_GoBack"/>
      <w:bookmarkEnd w:id="1"/>
    </w:p>
    <w:p>
      <w:pPr>
        <w:pStyle w:val="3"/>
        <w:ind w:firstLine="640"/>
        <w:rPr>
          <w:b w:val="0"/>
          <w:bCs w:val="0"/>
        </w:rPr>
      </w:pPr>
      <w:r>
        <w:rPr>
          <w:rFonts w:hint="eastAsia"/>
          <w:b w:val="0"/>
          <w:bCs w:val="0"/>
        </w:rPr>
        <w:t>（一）课程目标</w:t>
      </w:r>
    </w:p>
    <w:p>
      <w:pPr>
        <w:ind w:firstLine="643"/>
      </w:pPr>
      <w:r>
        <w:rPr>
          <w:rFonts w:hint="eastAsia"/>
          <w:b/>
          <w:bCs/>
        </w:rPr>
        <w:t>帮助金融机构了解国际绿色金融最新进展与最佳实践。</w:t>
      </w:r>
      <w:r>
        <w:rPr>
          <w:rFonts w:hint="eastAsia"/>
        </w:rPr>
        <w:t>系统梳理绿色金融源起及发展脉络，国际绿色金融政策制度、市场实践、组织倡议的最新进展，学习借鉴全球行业领域标杆企业先进经验。</w:t>
      </w:r>
    </w:p>
    <w:p>
      <w:pPr>
        <w:ind w:firstLine="643"/>
      </w:pPr>
      <w:r>
        <w:rPr>
          <w:rFonts w:hint="eastAsia"/>
          <w:b/>
          <w:bCs/>
        </w:rPr>
        <w:t>帮助金融机构精准掌握国家绿色金融发展脉络及工作要求。</w:t>
      </w:r>
      <w:r>
        <w:rPr>
          <w:rFonts w:hint="eastAsia"/>
        </w:rPr>
        <w:t>紧密围绕国家“双碳”战略，系统梳理国家及地方试验区绿色金融体系主要内容及实践，切实推进绿色金融服务实体经济发展的工作要求。</w:t>
      </w:r>
    </w:p>
    <w:p>
      <w:pPr>
        <w:ind w:firstLine="643"/>
      </w:pPr>
      <w:r>
        <w:rPr>
          <w:rFonts w:hint="eastAsia"/>
          <w:b/>
          <w:bCs/>
        </w:rPr>
        <w:t>帮助金融机构有效应对深圳绿色金融监管及工作要求。</w:t>
      </w:r>
      <w:r>
        <w:rPr>
          <w:rFonts w:hint="eastAsia"/>
        </w:rPr>
        <w:t>分享讲解深圳绿色金融法规、制度、标准体系建设及监管要求，帮助金融机构清晰了解、熟练掌握、有效应对监管要求。</w:t>
      </w:r>
    </w:p>
    <w:p>
      <w:pPr>
        <w:ind w:firstLine="643"/>
      </w:pPr>
      <w:r>
        <w:rPr>
          <w:rFonts w:hint="eastAsia"/>
          <w:b/>
          <w:bCs/>
        </w:rPr>
        <w:t>帮助金融机构提升绿色金融业务实操能力。</w:t>
      </w:r>
      <w:r>
        <w:rPr>
          <w:rFonts w:hint="eastAsia"/>
        </w:rPr>
        <w:t>邀请绿色及可持续金融领域标杆企业及专业第三方机构分享业务实践，提升金融同业间沟通交流。</w:t>
      </w:r>
    </w:p>
    <w:p>
      <w:pPr>
        <w:ind w:firstLine="643"/>
      </w:pPr>
      <w:r>
        <w:rPr>
          <w:rFonts w:hint="eastAsia"/>
          <w:b/>
          <w:bCs/>
        </w:rPr>
        <w:t>帮助金融机构领先探索低碳转型发展。</w:t>
      </w:r>
      <w:r>
        <w:rPr>
          <w:rFonts w:hint="eastAsia"/>
        </w:rPr>
        <w:t>分享金融机构自身脱碳发展路径，帮助金融机构系统提升绿色金融治理能力，领先探索脱碳发展路径，把握低碳经济发展先机。</w:t>
      </w:r>
    </w:p>
    <w:p>
      <w:pPr>
        <w:pStyle w:val="3"/>
        <w:ind w:firstLine="640"/>
        <w:rPr>
          <w:b w:val="0"/>
          <w:bCs w:val="0"/>
        </w:rPr>
      </w:pPr>
      <w:r>
        <w:rPr>
          <w:rFonts w:hint="eastAsia"/>
          <w:b w:val="0"/>
          <w:bCs w:val="0"/>
        </w:rPr>
        <w:t>（二）课程亮点</w:t>
      </w:r>
    </w:p>
    <w:p>
      <w:pPr>
        <w:ind w:firstLine="643"/>
      </w:pPr>
      <w:r>
        <w:rPr>
          <w:rFonts w:hint="eastAsia"/>
          <w:b/>
          <w:bCs/>
        </w:rPr>
        <w:t>1</w:t>
      </w:r>
      <w:r>
        <w:rPr>
          <w:b/>
          <w:bCs/>
        </w:rPr>
        <w:t xml:space="preserve">. </w:t>
      </w:r>
      <w:r>
        <w:rPr>
          <w:rFonts w:hint="eastAsia"/>
          <w:b/>
          <w:bCs/>
        </w:rPr>
        <w:t>接轨国际。</w:t>
      </w:r>
      <w:r>
        <w:rPr>
          <w:rFonts w:hint="eastAsia"/>
        </w:rPr>
        <w:t>系统安排国内外绿色及可持续金融前沿发展课程，分享介绍国内外最新最优实践。</w:t>
      </w:r>
    </w:p>
    <w:p>
      <w:pPr>
        <w:ind w:firstLine="643"/>
      </w:pPr>
      <w:r>
        <w:rPr>
          <w:b/>
          <w:bCs/>
        </w:rPr>
        <w:t xml:space="preserve">2. </w:t>
      </w:r>
      <w:r>
        <w:rPr>
          <w:rFonts w:hint="eastAsia"/>
          <w:b/>
          <w:bCs/>
        </w:rPr>
        <w:t>纵深实践。</w:t>
      </w:r>
      <w:r>
        <w:rPr>
          <w:rFonts w:hint="eastAsia"/>
        </w:rPr>
        <w:t>结合金融机构绿色发展需求，设置政策解读、制度建设、产品创新、环境风险管理等课程，帮助金融机构充分理解绿色金融的重要性，提升绿色金融实战能力。</w:t>
      </w:r>
    </w:p>
    <w:p>
      <w:pPr>
        <w:ind w:firstLine="643"/>
      </w:pPr>
      <w:r>
        <w:rPr>
          <w:rFonts w:hint="eastAsia"/>
          <w:b/>
          <w:bCs/>
        </w:rPr>
        <w:t>3</w:t>
      </w:r>
      <w:r>
        <w:rPr>
          <w:b/>
          <w:bCs/>
        </w:rPr>
        <w:t xml:space="preserve">. </w:t>
      </w:r>
      <w:r>
        <w:rPr>
          <w:rFonts w:hint="eastAsia"/>
          <w:b/>
          <w:bCs/>
        </w:rPr>
        <w:t>讲师高端。</w:t>
      </w:r>
      <w:r>
        <w:rPr>
          <w:rFonts w:hint="eastAsia"/>
        </w:rPr>
        <w:t>结合课程安排，选择国际、国家、地方、深圳等权威专家，及行业标杆企业核心领导与一线人员进行课程讲解，保障课程服务质量。</w:t>
      </w:r>
    </w:p>
    <w:p>
      <w:pPr>
        <w:ind w:firstLine="643"/>
      </w:pPr>
      <w:r>
        <w:rPr>
          <w:rFonts w:hint="eastAsia"/>
          <w:b/>
          <w:bCs/>
        </w:rPr>
        <w:t>4</w:t>
      </w:r>
      <w:r>
        <w:rPr>
          <w:b/>
          <w:bCs/>
        </w:rPr>
        <w:t xml:space="preserve">. </w:t>
      </w:r>
      <w:r>
        <w:rPr>
          <w:rFonts w:hint="eastAsia"/>
          <w:b/>
          <w:bCs/>
        </w:rPr>
        <w:t>形式多样。</w:t>
      </w:r>
      <w:r>
        <w:rPr>
          <w:rFonts w:hint="eastAsia"/>
        </w:rPr>
        <w:t>授课采用主题讲座、圆桌论坛、小组研讨等多种形式，提升课程的互动性与参与度。</w:t>
      </w:r>
    </w:p>
    <w:p>
      <w:pPr>
        <w:ind w:firstLine="0" w:firstLineChars="0"/>
      </w:pPr>
      <w:r>
        <w:drawing>
          <wp:anchor distT="0" distB="0" distL="114300" distR="114300" simplePos="0" relativeHeight="251659264" behindDoc="0" locked="0" layoutInCell="1" allowOverlap="1">
            <wp:simplePos x="0" y="0"/>
            <wp:positionH relativeFrom="column">
              <wp:posOffset>167640</wp:posOffset>
            </wp:positionH>
            <wp:positionV relativeFrom="paragraph">
              <wp:posOffset>463550</wp:posOffset>
            </wp:positionV>
            <wp:extent cx="5326380" cy="2677795"/>
            <wp:effectExtent l="0" t="0" r="0"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26380" cy="2677795"/>
                    </a:xfrm>
                    <a:prstGeom prst="rect">
                      <a:avLst/>
                    </a:prstGeom>
                    <a:noFill/>
                  </pic:spPr>
                </pic:pic>
              </a:graphicData>
            </a:graphic>
          </wp:anchor>
        </w:drawing>
      </w:r>
    </w:p>
    <w:p>
      <w:pPr>
        <w:pStyle w:val="2"/>
        <w:numPr>
          <w:ilvl w:val="0"/>
          <w:numId w:val="0"/>
        </w:numPr>
        <w:ind w:left="643"/>
        <w:rPr>
          <w:b w:val="0"/>
          <w:bCs w:val="0"/>
        </w:rPr>
      </w:pPr>
      <w:r>
        <w:rPr>
          <w:rFonts w:hint="eastAsia"/>
          <w:b w:val="0"/>
          <w:bCs w:val="0"/>
        </w:rPr>
        <w:t>二、课程设置及师资介绍</w:t>
      </w:r>
    </w:p>
    <w:tbl>
      <w:tblPr>
        <w:tblStyle w:val="7"/>
        <w:tblW w:w="4955"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893"/>
        <w:gridCol w:w="451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21" w:type="pct"/>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课程名称</w:t>
            </w:r>
          </w:p>
        </w:tc>
        <w:tc>
          <w:tcPr>
            <w:tcW w:w="2673" w:type="pct"/>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师资介绍</w:t>
            </w:r>
          </w:p>
        </w:tc>
        <w:tc>
          <w:tcPr>
            <w:tcW w:w="775" w:type="pct"/>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授课形式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12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推动绿色金融与E</w:t>
            </w:r>
            <w:r>
              <w:rPr>
                <w:rFonts w:ascii="宋体" w:hAnsi="宋体" w:eastAsia="宋体" w:cs="宋体"/>
                <w:color w:val="000000"/>
                <w:kern w:val="0"/>
                <w:sz w:val="24"/>
                <w:szCs w:val="24"/>
              </w:rPr>
              <w:t>SG</w:t>
            </w:r>
            <w:r>
              <w:rPr>
                <w:rFonts w:hint="eastAsia" w:ascii="宋体" w:hAnsi="宋体" w:eastAsia="宋体" w:cs="宋体"/>
                <w:color w:val="000000"/>
                <w:kern w:val="0"/>
                <w:sz w:val="24"/>
                <w:szCs w:val="24"/>
              </w:rPr>
              <w:t>投资 服务经济高质量发展</w:t>
            </w:r>
          </w:p>
        </w:tc>
        <w:tc>
          <w:tcPr>
            <w:tcW w:w="2673" w:type="pct"/>
            <w:shd w:val="clear" w:color="auto" w:fill="auto"/>
            <w:vAlign w:val="center"/>
          </w:tcPr>
          <w:p>
            <w:pPr>
              <w:widowControl/>
              <w:spacing w:line="276" w:lineRule="auto"/>
              <w:ind w:firstLine="0" w:firstLineChars="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何杰，</w:t>
            </w:r>
            <w:r>
              <w:rPr>
                <w:rFonts w:hint="eastAsia" w:ascii="宋体" w:hAnsi="宋体" w:eastAsia="宋体" w:cs="宋体"/>
                <w:color w:val="000000"/>
                <w:kern w:val="0"/>
                <w:sz w:val="24"/>
                <w:szCs w:val="24"/>
              </w:rPr>
              <w:t>深圳市地方金融监督管理局局长。国务院参事室金融研究中心研究员，民革中央经济委员会副主任。自2005年开始，在推动企业社会责任、责任投资、中国碳交易所设立、绿色中国建设、社会影响力金融等方面做了大量开创性工作。</w:t>
            </w:r>
          </w:p>
        </w:tc>
        <w:tc>
          <w:tcPr>
            <w:tcW w:w="775" w:type="pct"/>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2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国际绿色及可持续金融最新进展与实践</w:t>
            </w:r>
          </w:p>
        </w:tc>
        <w:tc>
          <w:tcPr>
            <w:tcW w:w="2673" w:type="pct"/>
            <w:shd w:val="clear" w:color="auto" w:fill="auto"/>
            <w:vAlign w:val="center"/>
          </w:tcPr>
          <w:p>
            <w:pPr>
              <w:widowControl/>
              <w:spacing w:line="276" w:lineRule="auto"/>
              <w:ind w:firstLine="0" w:firstLineChars="0"/>
              <w:jc w:val="left"/>
              <w:rPr>
                <w:rFonts w:ascii="宋体" w:hAnsi="宋体" w:eastAsia="宋体" w:cs="宋体"/>
                <w:color w:val="000000"/>
                <w:kern w:val="0"/>
                <w:sz w:val="24"/>
                <w:szCs w:val="24"/>
              </w:rPr>
            </w:pPr>
            <w:r>
              <w:rPr>
                <w:rFonts w:hint="eastAsia" w:ascii="宋体" w:hAnsi="宋体" w:eastAsia="宋体" w:cs="Times New Roman"/>
                <w:b/>
                <w:bCs/>
                <w:sz w:val="24"/>
                <w:szCs w:val="24"/>
              </w:rPr>
              <w:t>程琳</w:t>
            </w:r>
            <w:r>
              <w:rPr>
                <w:rFonts w:hint="eastAsia" w:ascii="宋体" w:hAnsi="宋体" w:eastAsia="宋体" w:cs="Times New Roman"/>
                <w:sz w:val="24"/>
                <w:szCs w:val="24"/>
              </w:rPr>
              <w:t>，北京绿色金融与可持续发展研究院国际合作中心主任，“一带一路”绿色投资原则</w:t>
            </w:r>
            <w:r>
              <w:rPr>
                <w:rFonts w:eastAsia="宋体" w:cs="Times New Roman"/>
                <w:sz w:val="24"/>
                <w:szCs w:val="24"/>
              </w:rPr>
              <w:t>（GIP）</w:t>
            </w:r>
            <w:r>
              <w:rPr>
                <w:rFonts w:hint="eastAsia" w:ascii="宋体" w:hAnsi="宋体" w:eastAsia="宋体" w:cs="Times New Roman"/>
                <w:sz w:val="24"/>
                <w:szCs w:val="24"/>
              </w:rPr>
              <w:t>秘书处北京办公室负责人。协助二十国集团（G20）绿色/可持续金融研究小组中方共同主席，完成三份《G20绿色金融综合报告》，推动中国在担任G20主席和研究小组共同主席期间达成历史性成果。</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2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绿色金融促进“双碳”目标实现的路径和创新尝试</w:t>
            </w:r>
          </w:p>
        </w:tc>
        <w:tc>
          <w:tcPr>
            <w:tcW w:w="2673" w:type="pc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Times New Roman"/>
                <w:b/>
                <w:bCs/>
                <w:sz w:val="24"/>
                <w:szCs w:val="24"/>
              </w:rPr>
              <w:t>柴麒敏，</w:t>
            </w:r>
            <w:r>
              <w:rPr>
                <w:rFonts w:hint="eastAsia" w:ascii="宋体" w:hAnsi="宋体" w:eastAsia="宋体" w:cs="Times New Roman"/>
                <w:sz w:val="24"/>
                <w:szCs w:val="24"/>
              </w:rPr>
              <w:t>现任生态环境部国家应对气候变化战略研究和国际合作中心战略规划部主任、副研究员，全球气候战略委员会委员。</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12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我国绿金改试验区绿色金融实践经验</w:t>
            </w:r>
          </w:p>
        </w:tc>
        <w:tc>
          <w:tcPr>
            <w:tcW w:w="2673" w:type="pc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宋体"/>
                <w:b/>
                <w:bCs/>
                <w:color w:val="000000"/>
                <w:kern w:val="0"/>
                <w:sz w:val="24"/>
                <w:szCs w:val="24"/>
              </w:rPr>
              <w:t>王遥，</w:t>
            </w:r>
            <w:r>
              <w:rPr>
                <w:rFonts w:hint="eastAsia" w:ascii="宋体" w:hAnsi="宋体" w:eastAsia="宋体" w:cs="宋体"/>
                <w:color w:val="000000"/>
                <w:kern w:val="0"/>
                <w:sz w:val="24"/>
                <w:szCs w:val="24"/>
              </w:rPr>
              <w:t>中央财经大学绿色金融国际研究院院长，中国金融学会绿色金融专业委员会副秘书长，中国证券业协会绿色证券委员会秘书长。</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深圳绿色金融条例与制度</w:t>
            </w:r>
          </w:p>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建设</w:t>
            </w:r>
          </w:p>
        </w:tc>
        <w:tc>
          <w:tcPr>
            <w:tcW w:w="2673" w:type="pct"/>
            <w:shd w:val="clear" w:color="auto" w:fill="auto"/>
            <w:vAlign w:val="center"/>
          </w:tcPr>
          <w:p>
            <w:pPr>
              <w:widowControl/>
              <w:spacing w:line="276"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深圳市地方金融监督管理局金融服务处领导</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绿色企业及绿色项目的识别与评价</w:t>
            </w:r>
          </w:p>
        </w:tc>
        <w:tc>
          <w:tcPr>
            <w:tcW w:w="2673" w:type="pct"/>
            <w:shd w:val="clear" w:color="auto" w:fill="auto"/>
            <w:vAlign w:val="center"/>
          </w:tcPr>
          <w:p>
            <w:pPr>
              <w:widowControl/>
              <w:spacing w:line="276" w:lineRule="auto"/>
              <w:ind w:firstLine="0" w:firstLineChars="0"/>
              <w:rPr>
                <w:rFonts w:ascii="宋体" w:hAnsi="宋体" w:eastAsia="宋体" w:cs="Times New Roman"/>
                <w:sz w:val="24"/>
                <w:szCs w:val="24"/>
              </w:rPr>
            </w:pPr>
            <w:r>
              <w:rPr>
                <w:rFonts w:hint="eastAsia" w:ascii="宋体" w:hAnsi="宋体" w:eastAsia="宋体" w:cs="Times New Roman"/>
                <w:b/>
                <w:bCs/>
                <w:sz w:val="24"/>
                <w:szCs w:val="24"/>
              </w:rPr>
              <w:t>廖原</w:t>
            </w:r>
            <w:r>
              <w:rPr>
                <w:rFonts w:hint="eastAsia" w:ascii="宋体" w:hAnsi="宋体" w:eastAsia="宋体" w:cs="Times New Roman"/>
                <w:sz w:val="24"/>
                <w:szCs w:val="24"/>
              </w:rPr>
              <w:t>，中节能生态产品发展研究中心总经理、中节能碳达峰碳中和研究院执行院长、中国环境科学学会气候投融资专业委员会副秘书长。多年来专注工业节能、清洁生产、污染防治及气候投融资领域咨询管理工作，在绿色债券评估、绿色信贷和绿色金融国际合作领域经验丰富</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金融机构环境信息披露与碳核算</w:t>
            </w:r>
          </w:p>
        </w:tc>
        <w:tc>
          <w:tcPr>
            <w:tcW w:w="2673" w:type="pct"/>
            <w:vMerge w:val="restar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Times New Roman"/>
                <w:b/>
                <w:bCs/>
                <w:sz w:val="24"/>
                <w:szCs w:val="24"/>
              </w:rPr>
              <w:t>葛兴安，</w:t>
            </w:r>
            <w:r>
              <w:rPr>
                <w:rFonts w:hint="eastAsia" w:ascii="宋体" w:hAnsi="宋体" w:eastAsia="宋体" w:cs="Times New Roman"/>
                <w:sz w:val="24"/>
                <w:szCs w:val="24"/>
              </w:rPr>
              <w:t>社会价值投资联盟副理事长。曾任深圳排放权交易所总裁、深圳绿金委秘书长、联合国开发计划署中国代表处可持续发展金融顾问委员会委员。</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分组实践：环境信息披露报告编制</w:t>
            </w:r>
          </w:p>
        </w:tc>
        <w:tc>
          <w:tcPr>
            <w:tcW w:w="2673" w:type="pct"/>
            <w:vMerge w:val="continue"/>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小组实践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银行业保险业绿色金融指引</w:t>
            </w:r>
          </w:p>
        </w:tc>
        <w:tc>
          <w:tcPr>
            <w:tcW w:w="2673" w:type="pc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Times New Roman"/>
                <w:sz w:val="24"/>
                <w:szCs w:val="24"/>
              </w:rPr>
              <w:t>中国银行保险监督管理委员会深圳监管局普惠金融处领导</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0</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ESG国内外政策与发展</w:t>
            </w:r>
          </w:p>
        </w:tc>
        <w:tc>
          <w:tcPr>
            <w:tcW w:w="2673" w:type="pc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Times New Roman"/>
                <w:b/>
                <w:bCs/>
                <w:sz w:val="24"/>
                <w:szCs w:val="24"/>
              </w:rPr>
              <w:t>施懿宸，</w:t>
            </w:r>
            <w:r>
              <w:rPr>
                <w:rFonts w:hint="eastAsia" w:ascii="宋体" w:hAnsi="宋体" w:eastAsia="宋体" w:cs="Times New Roman"/>
                <w:sz w:val="24"/>
                <w:szCs w:val="24"/>
              </w:rPr>
              <w:t>中央财经大学绿色金融国际研究院副院长，绿色金融产品创新实验室负责人,长三角绿色价值投资研究院院长。</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1</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金融机构ESG的运用与产品创新</w:t>
            </w:r>
          </w:p>
        </w:tc>
        <w:tc>
          <w:tcPr>
            <w:tcW w:w="2673" w:type="pct"/>
            <w:vMerge w:val="restar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Times New Roman"/>
                <w:b/>
                <w:bCs/>
                <w:sz w:val="24"/>
                <w:szCs w:val="24"/>
              </w:rPr>
              <w:t>郭沛源</w:t>
            </w:r>
            <w:r>
              <w:rPr>
                <w:rFonts w:hint="eastAsia" w:ascii="宋体" w:hAnsi="宋体" w:eastAsia="宋体" w:cs="Times New Roman"/>
                <w:sz w:val="24"/>
                <w:szCs w:val="24"/>
              </w:rPr>
              <w:t>，清华大学管理学博士，商道纵横总经理，商道融绿董事长，长期关注企业社会责任（CSR）和社会责任投资（SRI）的研究与发展，具有丰富的咨询、研究和培训经验。</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宋体"/>
                <w:color w:val="000000"/>
                <w:kern w:val="0"/>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2</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分组实践：ESG报告编制</w:t>
            </w:r>
          </w:p>
        </w:tc>
        <w:tc>
          <w:tcPr>
            <w:tcW w:w="2673" w:type="pct"/>
            <w:vMerge w:val="continue"/>
            <w:shd w:val="clear" w:color="auto" w:fill="auto"/>
            <w:vAlign w:val="center"/>
          </w:tcPr>
          <w:p>
            <w:pPr>
              <w:widowControl/>
              <w:spacing w:line="276" w:lineRule="auto"/>
              <w:ind w:firstLine="0" w:firstLineChars="0"/>
              <w:jc w:val="left"/>
              <w:rPr>
                <w:rFonts w:ascii="宋体" w:hAnsi="宋体" w:eastAsia="宋体" w:cs="宋体"/>
                <w:color w:val="000000"/>
                <w:kern w:val="0"/>
                <w:sz w:val="24"/>
                <w:szCs w:val="24"/>
              </w:rPr>
            </w:pP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Times New Roman"/>
                <w:sz w:val="24"/>
                <w:szCs w:val="24"/>
              </w:rPr>
              <w:t>实战演练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3</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“双碳”背景下粤港澳大湾区融合发展的机遇与挑战</w:t>
            </w:r>
          </w:p>
        </w:tc>
        <w:tc>
          <w:tcPr>
            <w:tcW w:w="2673" w:type="pct"/>
            <w:shd w:val="clear" w:color="auto" w:fill="auto"/>
            <w:vAlign w:val="center"/>
          </w:tcPr>
          <w:p>
            <w:pPr>
              <w:widowControl/>
              <w:spacing w:line="276" w:lineRule="auto"/>
              <w:ind w:firstLine="0" w:firstLineChars="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郭万达</w:t>
            </w:r>
            <w:r>
              <w:rPr>
                <w:rFonts w:hint="eastAsia" w:ascii="宋体" w:hAnsi="宋体" w:eastAsia="宋体" w:cs="宋体"/>
                <w:color w:val="000000"/>
                <w:kern w:val="0"/>
                <w:sz w:val="24"/>
                <w:szCs w:val="24"/>
              </w:rPr>
              <w:t>，中国综合开发院常务副院长，全国港澳研究会副会长。郭先生在宏观经济和产业政策研究、企业发展战略和管理流程设计、兼并收购和企业重组方面具有丰富经验。</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宋体"/>
                <w:color w:val="000000"/>
                <w:kern w:val="0"/>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4</w:t>
            </w:r>
          </w:p>
        </w:tc>
        <w:tc>
          <w:tcPr>
            <w:tcW w:w="1121" w:type="pct"/>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深圳气候投融资发展与实践</w:t>
            </w:r>
          </w:p>
        </w:tc>
        <w:tc>
          <w:tcPr>
            <w:tcW w:w="2673" w:type="pct"/>
            <w:shd w:val="clear" w:color="auto" w:fill="auto"/>
            <w:vAlign w:val="center"/>
          </w:tcPr>
          <w:p>
            <w:pPr>
              <w:widowControl/>
              <w:spacing w:line="276"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深圳市生态环境局应对气候变化处领导</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宋体"/>
                <w:color w:val="000000"/>
                <w:kern w:val="0"/>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5</w:t>
            </w:r>
          </w:p>
        </w:tc>
        <w:tc>
          <w:tcPr>
            <w:tcW w:w="1121" w:type="pct"/>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转型金融及产品创新</w:t>
            </w:r>
          </w:p>
        </w:tc>
        <w:tc>
          <w:tcPr>
            <w:tcW w:w="2673" w:type="pct"/>
            <w:shd w:val="clear" w:color="auto" w:fill="auto"/>
            <w:vAlign w:val="center"/>
          </w:tcPr>
          <w:p>
            <w:pPr>
              <w:widowControl/>
              <w:spacing w:line="276" w:lineRule="auto"/>
              <w:ind w:firstLine="0" w:firstLineChars="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徐洪峰</w:t>
            </w:r>
            <w:r>
              <w:rPr>
                <w:rFonts w:hint="eastAsia" w:ascii="宋体" w:hAnsi="宋体" w:eastAsia="宋体" w:cs="宋体"/>
                <w:color w:val="000000"/>
                <w:kern w:val="0"/>
                <w:sz w:val="24"/>
                <w:szCs w:val="24"/>
              </w:rPr>
              <w:t>，中国社科院研究员，中国环保产业协会投融资专委会副秘书长，哈佛大学肯尼迪政府学院访问学者，中国社会科学院博士，清华大学博士后。参与雄安、浙江衢州、江西赣江新区、广州花都新区等国家首批绿色金融改革创新试验区的绿色金融规划、绿色金融发展研究，以及绿色金融产品和服务创新。</w:t>
            </w:r>
          </w:p>
        </w:tc>
        <w:tc>
          <w:tcPr>
            <w:tcW w:w="775" w:type="pct"/>
            <w:shd w:val="clear" w:color="auto" w:fill="auto"/>
            <w:vAlign w:val="center"/>
          </w:tcPr>
          <w:p>
            <w:pPr>
              <w:widowControl/>
              <w:spacing w:line="276" w:lineRule="auto"/>
              <w:ind w:firstLine="0" w:firstLineChars="0"/>
              <w:jc w:val="left"/>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6</w:t>
            </w:r>
          </w:p>
        </w:tc>
        <w:tc>
          <w:tcPr>
            <w:tcW w:w="1121" w:type="pct"/>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圆桌讨论：绿色金融产品与服务创新实践</w:t>
            </w:r>
          </w:p>
        </w:tc>
        <w:tc>
          <w:tcPr>
            <w:tcW w:w="2673" w:type="pct"/>
            <w:shd w:val="clear" w:color="auto" w:fill="auto"/>
            <w:vAlign w:val="center"/>
          </w:tcPr>
          <w:p>
            <w:pPr>
              <w:widowControl/>
              <w:spacing w:line="276" w:lineRule="auto"/>
              <w:ind w:firstLine="0" w:firstLineChars="0"/>
              <w:jc w:val="left"/>
              <w:rPr>
                <w:rFonts w:ascii="宋体" w:hAnsi="宋体" w:eastAsia="宋体" w:cs="Times New Roman"/>
                <w:sz w:val="24"/>
                <w:szCs w:val="24"/>
              </w:rPr>
            </w:pPr>
            <w:r>
              <w:rPr>
                <w:rFonts w:hint="eastAsia" w:ascii="宋体" w:hAnsi="宋体" w:eastAsia="宋体" w:cs="宋体"/>
                <w:b/>
                <w:bCs/>
                <w:color w:val="000000"/>
                <w:kern w:val="0"/>
                <w:sz w:val="24"/>
                <w:szCs w:val="24"/>
              </w:rPr>
              <w:t>主持人</w:t>
            </w:r>
            <w:r>
              <w:rPr>
                <w:rFonts w:hint="eastAsia" w:ascii="宋体" w:hAnsi="宋体" w:eastAsia="宋体" w:cs="宋体"/>
                <w:color w:val="000000"/>
                <w:kern w:val="0"/>
                <w:sz w:val="24"/>
                <w:szCs w:val="24"/>
              </w:rPr>
              <w:t>：陈海鸥，</w:t>
            </w:r>
            <w:r>
              <w:rPr>
                <w:rFonts w:hint="eastAsia" w:ascii="宋体" w:hAnsi="宋体" w:eastAsia="宋体" w:cs="Times New Roman"/>
                <w:sz w:val="24"/>
                <w:szCs w:val="24"/>
              </w:rPr>
              <w:t>深圳市绿色金融协会秘书长，持有中国注册会计师（CICPA）、中国注册税务师（RTA）资格证书；是英国特许公认会计师公会资深会员（FCCA）及PAS2050（产品碳足迹核查）主任审核员。曾担任深圳排放权交易所总裁及可再生能源产业基金总经理，是深圳及中国碳交易市场的建设者和推动者。</w:t>
            </w:r>
          </w:p>
          <w:p>
            <w:pPr>
              <w:widowControl/>
              <w:spacing w:line="276" w:lineRule="auto"/>
              <w:ind w:firstLine="0" w:firstLineChars="0"/>
              <w:jc w:val="left"/>
            </w:pPr>
            <w:r>
              <w:rPr>
                <w:rFonts w:hint="eastAsia" w:ascii="宋体" w:hAnsi="宋体" w:eastAsia="宋体" w:cs="宋体"/>
                <w:b/>
                <w:bCs/>
                <w:color w:val="000000"/>
                <w:kern w:val="0"/>
                <w:sz w:val="24"/>
                <w:szCs w:val="24"/>
              </w:rPr>
              <w:t>圆桌嘉宾</w:t>
            </w:r>
            <w:r>
              <w:rPr>
                <w:rFonts w:hint="eastAsia" w:ascii="宋体" w:hAnsi="宋体" w:eastAsia="宋体" w:cs="宋体"/>
                <w:color w:val="000000"/>
                <w:kern w:val="0"/>
                <w:sz w:val="24"/>
                <w:szCs w:val="24"/>
              </w:rPr>
              <w:t>：深圳市银行、保险、证券、基金、信托、租赁、第三方咨询机构代表。</w:t>
            </w:r>
          </w:p>
        </w:tc>
        <w:tc>
          <w:tcPr>
            <w:tcW w:w="775" w:type="pct"/>
            <w:shd w:val="clear" w:color="auto" w:fill="auto"/>
            <w:vAlign w:val="center"/>
          </w:tcPr>
          <w:p>
            <w:pPr>
              <w:widowControl/>
              <w:spacing w:line="276" w:lineRule="auto"/>
              <w:ind w:firstLine="0" w:firstLineChars="0"/>
              <w:jc w:val="left"/>
              <w:rPr>
                <w:rFonts w:ascii="宋体" w:hAnsi="宋体" w:eastAsia="宋体" w:cs="Times New Roman"/>
                <w:b/>
                <w:bCs/>
                <w:sz w:val="24"/>
                <w:szCs w:val="24"/>
              </w:rPr>
            </w:pPr>
            <w:r>
              <w:rPr>
                <w:rFonts w:hint="eastAsia" w:ascii="宋体" w:hAnsi="宋体" w:eastAsia="宋体" w:cs="宋体"/>
                <w:color w:val="000000"/>
                <w:kern w:val="0"/>
                <w:sz w:val="24"/>
                <w:szCs w:val="24"/>
              </w:rPr>
              <w:t>主题讲座</w:t>
            </w:r>
          </w:p>
        </w:tc>
      </w:tr>
    </w:tbl>
    <w:p>
      <w:pPr>
        <w:pStyle w:val="2"/>
        <w:numPr>
          <w:ilvl w:val="0"/>
          <w:numId w:val="0"/>
        </w:numPr>
        <w:ind w:left="643"/>
        <w:rPr>
          <w:b w:val="0"/>
          <w:bCs w:val="0"/>
        </w:rPr>
      </w:pPr>
      <w:r>
        <w:rPr>
          <w:rFonts w:hint="eastAsia"/>
          <w:b w:val="0"/>
          <w:bCs w:val="0"/>
        </w:rPr>
        <w:t>三、课程学时及时间安排</w:t>
      </w:r>
    </w:p>
    <w:p>
      <w:pPr>
        <w:spacing w:line="360" w:lineRule="auto"/>
        <w:ind w:left="1" w:firstLine="640"/>
        <w:rPr>
          <w:rFonts w:ascii="仿宋_GB2312" w:hAnsi="楷体"/>
          <w:color w:val="FF0000"/>
          <w:sz w:val="28"/>
          <w:szCs w:val="28"/>
        </w:rPr>
      </w:pPr>
      <w:r>
        <w:rPr>
          <w:rFonts w:hint="eastAsia" w:ascii="仿宋_GB2312" w:hAnsi="仿宋_GB2312" w:cs="仿宋_GB2312"/>
        </w:rPr>
        <w:t>课程计划在2022年8月-9月开展，每两周安排一次，每次2-3天（周四至周六），详细课时安排见下表。</w:t>
      </w:r>
    </w:p>
    <w:tbl>
      <w:tblPr>
        <w:tblStyle w:val="7"/>
        <w:tblW w:w="8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5"/>
        <w:gridCol w:w="850"/>
        <w:gridCol w:w="241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46" w:type="dxa"/>
            <w:shd w:val="clear" w:color="auto" w:fill="auto"/>
            <w:vAlign w:val="center"/>
          </w:tcPr>
          <w:p>
            <w:pPr>
              <w:widowControl/>
              <w:spacing w:line="276"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2835" w:type="dxa"/>
            <w:shd w:val="clear" w:color="auto" w:fill="auto"/>
            <w:vAlign w:val="center"/>
          </w:tcPr>
          <w:p>
            <w:pPr>
              <w:widowControl/>
              <w:spacing w:line="276"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课程名称</w:t>
            </w:r>
          </w:p>
        </w:tc>
        <w:tc>
          <w:tcPr>
            <w:tcW w:w="850" w:type="dxa"/>
            <w:shd w:val="clear" w:color="auto" w:fill="auto"/>
            <w:vAlign w:val="center"/>
          </w:tcPr>
          <w:p>
            <w:pPr>
              <w:widowControl/>
              <w:spacing w:line="276"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课时</w:t>
            </w:r>
          </w:p>
        </w:tc>
        <w:tc>
          <w:tcPr>
            <w:tcW w:w="2410" w:type="dxa"/>
            <w:shd w:val="clear" w:color="auto" w:fill="auto"/>
            <w:vAlign w:val="center"/>
          </w:tcPr>
          <w:p>
            <w:pPr>
              <w:widowControl/>
              <w:spacing w:line="276"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时间安排</w:t>
            </w:r>
          </w:p>
        </w:tc>
        <w:tc>
          <w:tcPr>
            <w:tcW w:w="1412" w:type="dxa"/>
            <w:vAlign w:val="center"/>
          </w:tcPr>
          <w:p>
            <w:pPr>
              <w:widowControl/>
              <w:spacing w:line="276" w:lineRule="auto"/>
              <w:ind w:firstLine="0" w:firstLineChars="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8353" w:type="dxa"/>
            <w:gridSpan w:val="5"/>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1</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推动绿色金融与E</w:t>
            </w:r>
            <w:r>
              <w:rPr>
                <w:rFonts w:ascii="宋体" w:hAnsi="宋体" w:eastAsia="宋体" w:cs="宋体"/>
                <w:color w:val="000000"/>
                <w:kern w:val="0"/>
                <w:sz w:val="24"/>
                <w:szCs w:val="24"/>
              </w:rPr>
              <w:t>SG</w:t>
            </w:r>
            <w:r>
              <w:rPr>
                <w:rFonts w:hint="eastAsia" w:ascii="宋体" w:hAnsi="宋体" w:eastAsia="宋体" w:cs="宋体"/>
                <w:color w:val="000000"/>
                <w:kern w:val="0"/>
                <w:sz w:val="24"/>
                <w:szCs w:val="24"/>
              </w:rPr>
              <w:t>投资 服务经济高质量发展</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2410"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周四</w:t>
            </w:r>
          </w:p>
          <w:p>
            <w:pPr>
              <w:spacing w:line="276" w:lineRule="auto"/>
              <w:ind w:firstLine="0" w:firstLineChars="0"/>
              <w:jc w:val="center"/>
              <w:rPr>
                <w:rFonts w:ascii="宋体" w:hAnsi="宋体" w:eastAsia="宋体"/>
                <w:sz w:val="24"/>
                <w:szCs w:val="24"/>
              </w:rPr>
            </w:pPr>
            <w:r>
              <w:rPr>
                <w:rFonts w:ascii="宋体" w:hAnsi="宋体" w:eastAsia="宋体" w:cs="Times New Roman"/>
                <w:sz w:val="24"/>
                <w:szCs w:val="24"/>
              </w:rPr>
              <w:t>14</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17</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2</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国际绿色及可持续金融最新进展与实践</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2410"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9:00-12:00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3</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绿色金融促进“双碳”目标实现的路径和创新尝试</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2410"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14:00-17:00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4</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我国绿金改试验区绿色金融实践经验</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周六</w:t>
            </w:r>
          </w:p>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9:</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12</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5</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团建</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周六</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Times New Roman"/>
                <w:sz w:val="24"/>
                <w:szCs w:val="24"/>
              </w:rPr>
              <w:t>14</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17</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353" w:type="dxa"/>
            <w:gridSpan w:val="5"/>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第二周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6</w:t>
            </w:r>
          </w:p>
        </w:tc>
        <w:tc>
          <w:tcPr>
            <w:tcW w:w="2835" w:type="dxa"/>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深圳绿色金融条例与制度建设</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9:</w:t>
            </w:r>
            <w:r>
              <w:rPr>
                <w:rFonts w:ascii="宋体" w:hAnsi="宋体" w:eastAsia="宋体" w:cs="Times New Roman"/>
                <w:sz w:val="24"/>
                <w:szCs w:val="24"/>
              </w:rPr>
              <w:t>00-10:00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7</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绿色企业及绿色项目的识别与评价</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12</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8</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金融机构环境信息披露与碳核算</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16</w:t>
            </w:r>
            <w:r>
              <w:rPr>
                <w:rFonts w:hint="eastAsia" w:ascii="宋体" w:hAnsi="宋体" w:eastAsia="宋体" w:cs="Times New Roman"/>
                <w:sz w:val="24"/>
                <w:szCs w:val="24"/>
              </w:rPr>
              <w:t>:0</w:t>
            </w:r>
            <w:r>
              <w:rPr>
                <w:rFonts w:ascii="宋体" w:hAnsi="宋体" w:eastAsia="宋体" w:cs="Times New Roman"/>
                <w:sz w:val="24"/>
                <w:szCs w:val="24"/>
              </w:rPr>
              <w:t>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9</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分组实践：环境信息披露报告编制</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Times New Roman"/>
                <w:sz w:val="24"/>
                <w:szCs w:val="24"/>
              </w:rPr>
              <w:t>16</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18</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宋体"/>
                <w:color w:val="000000"/>
                <w:kern w:val="0"/>
                <w:sz w:val="24"/>
                <w:szCs w:val="24"/>
              </w:rPr>
              <w:t>10</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银行业保险业绿色金融指引</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周六</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1</w:t>
            </w:r>
          </w:p>
        </w:tc>
        <w:tc>
          <w:tcPr>
            <w:tcW w:w="2835" w:type="dxa"/>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ESG国内外政策与发展</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周六</w:t>
            </w:r>
          </w:p>
          <w:p>
            <w:pPr>
              <w:spacing w:line="276" w:lineRule="auto"/>
              <w:ind w:firstLine="0" w:firstLineChars="0"/>
              <w:jc w:val="center"/>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12</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2</w:t>
            </w:r>
          </w:p>
        </w:tc>
        <w:tc>
          <w:tcPr>
            <w:tcW w:w="2835" w:type="dxa"/>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金融机构ESG的运用与产品创新</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周六</w:t>
            </w:r>
          </w:p>
          <w:p>
            <w:pPr>
              <w:spacing w:line="276" w:lineRule="auto"/>
              <w:ind w:firstLine="0" w:firstLineChars="0"/>
              <w:jc w:val="center"/>
              <w:rPr>
                <w:rFonts w:ascii="宋体" w:hAnsi="宋体" w:eastAsia="宋体" w:cs="Times New Roman"/>
                <w:sz w:val="24"/>
                <w:szCs w:val="24"/>
              </w:rPr>
            </w:pPr>
            <w:r>
              <w:rPr>
                <w:rFonts w:ascii="宋体" w:hAnsi="宋体" w:eastAsia="宋体" w:cs="Times New Roman"/>
                <w:sz w:val="24"/>
                <w:szCs w:val="24"/>
              </w:rPr>
              <w:t>14</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17</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3</w:t>
            </w:r>
          </w:p>
        </w:tc>
        <w:tc>
          <w:tcPr>
            <w:tcW w:w="2835" w:type="dxa"/>
            <w:shd w:val="clear" w:color="auto" w:fill="auto"/>
            <w:vAlign w:val="center"/>
          </w:tcPr>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分组实践：ESG报告</w:t>
            </w:r>
          </w:p>
          <w:p>
            <w:pPr>
              <w:widowControl/>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编制</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周六</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Times New Roman"/>
                <w:sz w:val="24"/>
                <w:szCs w:val="24"/>
              </w:rPr>
              <w:t>17</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18</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53" w:type="dxa"/>
            <w:gridSpan w:val="5"/>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第三周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4</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“双碳”背景下粤港澳大湾区融合发展的机遇与挑战</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12</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5</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深圳气候投融资发展与实践</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Times New Roman"/>
                <w:sz w:val="24"/>
                <w:szCs w:val="24"/>
              </w:rPr>
              <w:t>14</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15</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6</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转型金融及产品创新</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周五</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Times New Roman"/>
                <w:sz w:val="24"/>
                <w:szCs w:val="24"/>
              </w:rPr>
              <w:t>15</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17</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7</w:t>
            </w:r>
          </w:p>
        </w:tc>
        <w:tc>
          <w:tcPr>
            <w:tcW w:w="2835" w:type="dxa"/>
            <w:shd w:val="clear" w:color="auto" w:fill="auto"/>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Times New Roman"/>
                <w:sz w:val="24"/>
                <w:szCs w:val="24"/>
              </w:rPr>
              <w:t>圆桌讨论：绿色金融产品与服务创新实践</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2410" w:type="dxa"/>
            <w:shd w:val="clear" w:color="auto" w:fill="auto"/>
            <w:vAlign w:val="center"/>
          </w:tcPr>
          <w:p>
            <w:pPr>
              <w:spacing w:line="276"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周六</w:t>
            </w:r>
          </w:p>
          <w:p>
            <w:pPr>
              <w:widowControl/>
              <w:spacing w:line="276" w:lineRule="auto"/>
              <w:ind w:firstLine="0" w:firstLineChars="0"/>
              <w:jc w:val="center"/>
              <w:rPr>
                <w:rFonts w:ascii="宋体" w:hAnsi="宋体" w:eastAsia="宋体" w:cs="宋体"/>
                <w:color w:val="000000"/>
                <w:kern w:val="0"/>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00</w:t>
            </w:r>
            <w:r>
              <w:rPr>
                <w:rFonts w:hint="eastAsia" w:ascii="宋体" w:hAnsi="宋体" w:eastAsia="宋体" w:cs="Times New Roman"/>
                <w:sz w:val="24"/>
                <w:szCs w:val="24"/>
              </w:rPr>
              <w:t>-</w:t>
            </w:r>
            <w:r>
              <w:rPr>
                <w:rFonts w:ascii="宋体" w:hAnsi="宋体" w:eastAsia="宋体" w:cs="Times New Roman"/>
                <w:sz w:val="24"/>
                <w:szCs w:val="24"/>
              </w:rPr>
              <w:t>12</w:t>
            </w:r>
            <w:r>
              <w:rPr>
                <w:rFonts w:hint="eastAsia" w:ascii="宋体" w:hAnsi="宋体" w:eastAsia="宋体" w:cs="Times New Roman"/>
                <w:sz w:val="24"/>
                <w:szCs w:val="24"/>
              </w:rPr>
              <w:t>:</w:t>
            </w:r>
            <w:r>
              <w:rPr>
                <w:rFonts w:ascii="宋体" w:hAnsi="宋体" w:eastAsia="宋体" w:cs="Times New Roman"/>
                <w:sz w:val="24"/>
                <w:szCs w:val="24"/>
              </w:rPr>
              <w:t>00</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青青世界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846" w:type="dxa"/>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2835" w:type="dxa"/>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850" w:type="dxa"/>
            <w:shd w:val="clear" w:color="auto" w:fill="auto"/>
            <w:vAlign w:val="center"/>
          </w:tcPr>
          <w:p>
            <w:pPr>
              <w:widowControl/>
              <w:spacing w:line="276" w:lineRule="auto"/>
              <w:ind w:firstLine="0" w:firstLineChars="0"/>
              <w:jc w:val="center"/>
              <w:rPr>
                <w:rFonts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38</w:t>
            </w:r>
          </w:p>
        </w:tc>
        <w:tc>
          <w:tcPr>
            <w:tcW w:w="2410" w:type="dxa"/>
            <w:shd w:val="clear" w:color="auto" w:fill="auto"/>
            <w:vAlign w:val="center"/>
          </w:tcPr>
          <w:p>
            <w:pPr>
              <w:widowControl/>
              <w:spacing w:line="276"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p>
        </w:tc>
        <w:tc>
          <w:tcPr>
            <w:tcW w:w="1412" w:type="dxa"/>
            <w:vAlign w:val="center"/>
          </w:tcPr>
          <w:p>
            <w:pPr>
              <w:widowControl/>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w:t>
            </w:r>
          </w:p>
        </w:tc>
      </w:tr>
    </w:tbl>
    <w:p>
      <w:pPr>
        <w:spacing w:line="360" w:lineRule="auto"/>
        <w:ind w:left="1" w:firstLine="560"/>
        <w:rPr>
          <w:rFonts w:ascii="仿宋_GB2312" w:hAnsi="楷体"/>
          <w:color w:val="FF0000"/>
          <w:sz w:val="28"/>
          <w:szCs w:val="28"/>
        </w:rPr>
      </w:pPr>
      <w:bookmarkStart w:id="0" w:name="_Hlk106309131"/>
    </w:p>
    <w:p>
      <w:pPr>
        <w:pStyle w:val="2"/>
        <w:numPr>
          <w:ilvl w:val="0"/>
          <w:numId w:val="0"/>
        </w:numPr>
        <w:ind w:left="643"/>
        <w:rPr>
          <w:b w:val="0"/>
          <w:bCs w:val="0"/>
        </w:rPr>
      </w:pPr>
      <w:r>
        <w:rPr>
          <w:rFonts w:hint="eastAsia"/>
          <w:b w:val="0"/>
          <w:bCs w:val="0"/>
        </w:rPr>
        <w:t>四、项目管理团队介绍</w:t>
      </w:r>
    </w:p>
    <w:bookmarkEnd w:id="0"/>
    <w:tbl>
      <w:tblPr>
        <w:tblStyle w:val="7"/>
        <w:tblW w:w="8375" w:type="dxa"/>
        <w:tblInd w:w="0" w:type="dxa"/>
        <w:tblLayout w:type="autofit"/>
        <w:tblCellMar>
          <w:top w:w="0" w:type="dxa"/>
          <w:left w:w="108" w:type="dxa"/>
          <w:bottom w:w="0" w:type="dxa"/>
          <w:right w:w="108" w:type="dxa"/>
        </w:tblCellMar>
      </w:tblPr>
      <w:tblGrid>
        <w:gridCol w:w="1129"/>
        <w:gridCol w:w="2694"/>
        <w:gridCol w:w="4552"/>
      </w:tblGrid>
      <w:tr>
        <w:tblPrEx>
          <w:tblCellMar>
            <w:top w:w="0" w:type="dxa"/>
            <w:left w:w="108" w:type="dxa"/>
            <w:bottom w:w="0" w:type="dxa"/>
            <w:right w:w="108" w:type="dxa"/>
          </w:tblCellMar>
        </w:tblPrEx>
        <w:trPr>
          <w:trHeight w:val="297"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职责</w:t>
            </w:r>
          </w:p>
        </w:tc>
        <w:tc>
          <w:tcPr>
            <w:tcW w:w="45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简介</w:t>
            </w:r>
          </w:p>
        </w:tc>
      </w:tr>
      <w:tr>
        <w:tblPrEx>
          <w:tblCellMar>
            <w:top w:w="0" w:type="dxa"/>
            <w:left w:w="108" w:type="dxa"/>
            <w:bottom w:w="0" w:type="dxa"/>
            <w:right w:w="108" w:type="dxa"/>
          </w:tblCellMar>
        </w:tblPrEx>
        <w:trPr>
          <w:trHeight w:val="593"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cs="宋体"/>
                <w:color w:val="000000"/>
                <w:kern w:val="0"/>
                <w:sz w:val="24"/>
                <w:szCs w:val="24"/>
              </w:rPr>
            </w:pPr>
            <w:r>
              <w:rPr>
                <w:rFonts w:hint="eastAsia" w:ascii="宋体" w:hAnsi="宋体" w:eastAsia="宋体"/>
                <w:sz w:val="24"/>
                <w:szCs w:val="24"/>
              </w:rPr>
              <w:t>陈海鸥</w:t>
            </w:r>
          </w:p>
        </w:tc>
        <w:tc>
          <w:tcPr>
            <w:tcW w:w="2694" w:type="dxa"/>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b/>
                <w:bCs/>
                <w:sz w:val="24"/>
                <w:szCs w:val="24"/>
              </w:rPr>
            </w:pPr>
            <w:r>
              <w:rPr>
                <w:rFonts w:hint="eastAsia" w:ascii="宋体" w:hAnsi="宋体" w:eastAsia="宋体"/>
                <w:b/>
                <w:bCs/>
                <w:sz w:val="24"/>
                <w:szCs w:val="24"/>
              </w:rPr>
              <w:t>项目总负责人</w:t>
            </w:r>
          </w:p>
          <w:p>
            <w:pPr>
              <w:widowControl/>
              <w:spacing w:line="360" w:lineRule="auto"/>
              <w:ind w:firstLine="0" w:firstLineChars="0"/>
              <w:jc w:val="center"/>
              <w:rPr>
                <w:rFonts w:ascii="宋体" w:hAnsi="宋体" w:eastAsia="宋体"/>
                <w:sz w:val="24"/>
                <w:szCs w:val="24"/>
              </w:rPr>
            </w:pPr>
            <w:r>
              <w:rPr>
                <w:rFonts w:hint="eastAsia" w:ascii="宋体" w:hAnsi="宋体" w:eastAsia="宋体"/>
                <w:sz w:val="24"/>
                <w:szCs w:val="24"/>
              </w:rPr>
              <w:t>统筹领导研修班各项工作，全局把握研修班各项工作质量及进度</w:t>
            </w:r>
          </w:p>
        </w:tc>
        <w:tc>
          <w:tcPr>
            <w:tcW w:w="4552" w:type="dxa"/>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left"/>
              <w:rPr>
                <w:rFonts w:ascii="宋体" w:hAnsi="宋体" w:eastAsia="宋体" w:cs="宋体"/>
                <w:color w:val="000000"/>
                <w:kern w:val="0"/>
                <w:sz w:val="24"/>
                <w:szCs w:val="24"/>
              </w:rPr>
            </w:pPr>
            <w:r>
              <w:rPr>
                <w:rFonts w:hint="eastAsia" w:ascii="宋体" w:hAnsi="宋体" w:eastAsia="宋体"/>
                <w:sz w:val="24"/>
                <w:szCs w:val="24"/>
              </w:rPr>
              <w:t>深圳市绿色金融协会秘书长，</w:t>
            </w:r>
            <w:r>
              <w:rPr>
                <w:rFonts w:hint="eastAsia" w:ascii="宋体" w:hAnsi="宋体" w:eastAsia="宋体"/>
                <w:sz w:val="24"/>
                <w:szCs w:val="24"/>
                <w:highlight w:val="green"/>
              </w:rPr>
              <w:t>自2</w:t>
            </w:r>
            <w:r>
              <w:rPr>
                <w:rFonts w:ascii="宋体" w:hAnsi="宋体" w:eastAsia="宋体"/>
                <w:sz w:val="24"/>
                <w:szCs w:val="24"/>
                <w:highlight w:val="green"/>
              </w:rPr>
              <w:t>006</w:t>
            </w:r>
            <w:r>
              <w:rPr>
                <w:rFonts w:hint="eastAsia" w:ascii="宋体" w:hAnsi="宋体" w:eastAsia="宋体"/>
                <w:sz w:val="24"/>
                <w:szCs w:val="24"/>
              </w:rPr>
              <w:t>年起投身绿色低碳领域，具有十余年绿色低碳领域的工作及团队领导经验。</w:t>
            </w:r>
          </w:p>
        </w:tc>
      </w:tr>
      <w:tr>
        <w:tblPrEx>
          <w:tblCellMar>
            <w:top w:w="0" w:type="dxa"/>
            <w:left w:w="108" w:type="dxa"/>
            <w:bottom w:w="0" w:type="dxa"/>
            <w:right w:w="108" w:type="dxa"/>
          </w:tblCellMar>
        </w:tblPrEx>
        <w:trPr>
          <w:trHeight w:val="593"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sz w:val="24"/>
                <w:szCs w:val="24"/>
              </w:rPr>
            </w:pPr>
            <w:r>
              <w:rPr>
                <w:rFonts w:hint="eastAsia" w:ascii="宋体" w:hAnsi="宋体" w:eastAsia="宋体"/>
                <w:sz w:val="24"/>
                <w:szCs w:val="24"/>
              </w:rPr>
              <w:t>孙旭</w:t>
            </w:r>
          </w:p>
        </w:tc>
        <w:tc>
          <w:tcPr>
            <w:tcW w:w="2694" w:type="dxa"/>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b/>
                <w:bCs/>
                <w:sz w:val="24"/>
                <w:szCs w:val="24"/>
              </w:rPr>
            </w:pPr>
            <w:r>
              <w:rPr>
                <w:rFonts w:hint="eastAsia" w:ascii="宋体" w:hAnsi="宋体" w:eastAsia="宋体"/>
                <w:b/>
                <w:bCs/>
                <w:sz w:val="24"/>
                <w:szCs w:val="24"/>
              </w:rPr>
              <w:t>课程管理负责人</w:t>
            </w:r>
          </w:p>
          <w:p>
            <w:pPr>
              <w:widowControl/>
              <w:spacing w:line="360" w:lineRule="auto"/>
              <w:ind w:firstLine="0" w:firstLineChars="0"/>
              <w:jc w:val="center"/>
              <w:rPr>
                <w:rFonts w:ascii="宋体" w:hAnsi="宋体" w:eastAsia="宋体"/>
                <w:sz w:val="24"/>
                <w:szCs w:val="24"/>
              </w:rPr>
            </w:pPr>
            <w:r>
              <w:rPr>
                <w:rFonts w:hint="eastAsia" w:ascii="宋体" w:hAnsi="宋体" w:eastAsia="宋体"/>
                <w:sz w:val="24"/>
                <w:szCs w:val="24"/>
              </w:rPr>
              <w:t>负责课程设计、专家讲师的协调跟进及项目质量管理</w:t>
            </w:r>
          </w:p>
        </w:tc>
        <w:tc>
          <w:tcPr>
            <w:tcW w:w="4552" w:type="dxa"/>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left"/>
              <w:rPr>
                <w:rFonts w:ascii="宋体" w:hAnsi="宋体" w:eastAsia="宋体"/>
                <w:sz w:val="24"/>
                <w:szCs w:val="24"/>
              </w:rPr>
            </w:pPr>
            <w:r>
              <w:rPr>
                <w:rFonts w:hint="eastAsia" w:ascii="宋体" w:hAnsi="宋体" w:eastAsia="宋体"/>
                <w:sz w:val="24"/>
                <w:szCs w:val="24"/>
              </w:rPr>
              <w:t>深圳市绿色金融协会战略研究部主任。七年气候变化、碳交易与碳金融、绿色金融领域的研究与实践经验。</w:t>
            </w:r>
          </w:p>
        </w:tc>
      </w:tr>
      <w:tr>
        <w:tblPrEx>
          <w:tblCellMar>
            <w:top w:w="0" w:type="dxa"/>
            <w:left w:w="108" w:type="dxa"/>
            <w:bottom w:w="0" w:type="dxa"/>
            <w:right w:w="108" w:type="dxa"/>
          </w:tblCellMar>
        </w:tblPrEx>
        <w:trPr>
          <w:trHeight w:val="593"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sz w:val="24"/>
                <w:szCs w:val="24"/>
              </w:rPr>
            </w:pPr>
            <w:r>
              <w:rPr>
                <w:rFonts w:hint="eastAsia" w:ascii="宋体" w:hAnsi="宋体" w:eastAsia="宋体"/>
                <w:sz w:val="24"/>
                <w:szCs w:val="24"/>
              </w:rPr>
              <w:t>鲍逊</w:t>
            </w:r>
          </w:p>
        </w:tc>
        <w:tc>
          <w:tcPr>
            <w:tcW w:w="2694" w:type="dxa"/>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b/>
                <w:bCs/>
                <w:sz w:val="24"/>
                <w:szCs w:val="24"/>
              </w:rPr>
            </w:pPr>
            <w:r>
              <w:rPr>
                <w:rFonts w:hint="eastAsia" w:ascii="宋体" w:hAnsi="宋体" w:eastAsia="宋体"/>
                <w:b/>
                <w:bCs/>
                <w:sz w:val="24"/>
                <w:szCs w:val="24"/>
              </w:rPr>
              <w:t>招生管理负责人</w:t>
            </w:r>
          </w:p>
          <w:p>
            <w:pPr>
              <w:widowControl/>
              <w:spacing w:line="360" w:lineRule="auto"/>
              <w:ind w:firstLine="0" w:firstLineChars="0"/>
              <w:jc w:val="center"/>
            </w:pPr>
            <w:r>
              <w:rPr>
                <w:rFonts w:hint="eastAsia" w:ascii="宋体" w:hAnsi="宋体" w:eastAsia="宋体"/>
                <w:sz w:val="24"/>
                <w:szCs w:val="24"/>
              </w:rPr>
              <w:t>负责管理招生事宜及开展学员服务质量管理</w:t>
            </w:r>
          </w:p>
        </w:tc>
        <w:tc>
          <w:tcPr>
            <w:tcW w:w="4552" w:type="dxa"/>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left"/>
              <w:rPr>
                <w:rFonts w:ascii="宋体" w:hAnsi="宋体" w:eastAsia="宋体"/>
                <w:sz w:val="24"/>
                <w:szCs w:val="24"/>
              </w:rPr>
            </w:pPr>
            <w:r>
              <w:rPr>
                <w:rFonts w:hint="eastAsia" w:ascii="宋体" w:hAnsi="宋体" w:eastAsia="宋体"/>
                <w:sz w:val="24"/>
                <w:szCs w:val="24"/>
              </w:rPr>
              <w:t>深圳市绿色金融协会会员部主编，曾任深圳市发展改革委员会研究中心《深圳循环经济》、《深圳高质量发展》杂志主编，12年对深圳市节能减排、低碳环保、绿色金融、循环经济、营商环境和高质量发展全领域报道的实践经验。</w:t>
            </w:r>
          </w:p>
        </w:tc>
      </w:tr>
      <w:tr>
        <w:tblPrEx>
          <w:tblCellMar>
            <w:top w:w="0" w:type="dxa"/>
            <w:left w:w="108" w:type="dxa"/>
            <w:bottom w:w="0" w:type="dxa"/>
            <w:right w:w="108" w:type="dxa"/>
          </w:tblCellMar>
        </w:tblPrEx>
        <w:trPr>
          <w:trHeight w:val="593"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sz w:val="24"/>
                <w:szCs w:val="24"/>
              </w:rPr>
            </w:pPr>
            <w:r>
              <w:rPr>
                <w:rFonts w:hint="eastAsia" w:ascii="宋体" w:hAnsi="宋体" w:eastAsia="宋体"/>
                <w:sz w:val="24"/>
                <w:szCs w:val="24"/>
              </w:rPr>
              <w:t>肖芳</w:t>
            </w:r>
          </w:p>
        </w:tc>
        <w:tc>
          <w:tcPr>
            <w:tcW w:w="269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b/>
                <w:bCs/>
                <w:sz w:val="24"/>
                <w:szCs w:val="24"/>
              </w:rPr>
            </w:pPr>
            <w:r>
              <w:rPr>
                <w:rFonts w:hint="eastAsia" w:ascii="宋体" w:hAnsi="宋体" w:eastAsia="宋体"/>
                <w:b/>
                <w:bCs/>
                <w:sz w:val="24"/>
                <w:szCs w:val="24"/>
              </w:rPr>
              <w:t>项目执行负责人</w:t>
            </w:r>
          </w:p>
          <w:p>
            <w:pPr>
              <w:widowControl/>
              <w:spacing w:line="360" w:lineRule="auto"/>
              <w:ind w:firstLine="0" w:firstLineChars="0"/>
              <w:jc w:val="center"/>
            </w:pPr>
            <w:r>
              <w:rPr>
                <w:rFonts w:hint="eastAsia" w:ascii="宋体" w:hAnsi="宋体" w:eastAsia="宋体"/>
                <w:sz w:val="24"/>
                <w:szCs w:val="24"/>
              </w:rPr>
              <w:t>负责统筹管理研修班场地、设施、餐饮及住宿安排</w:t>
            </w:r>
          </w:p>
        </w:tc>
        <w:tc>
          <w:tcPr>
            <w:tcW w:w="4552" w:type="dxa"/>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left"/>
              <w:rPr>
                <w:rFonts w:ascii="宋体" w:hAnsi="宋体" w:eastAsia="宋体"/>
                <w:sz w:val="24"/>
                <w:szCs w:val="24"/>
              </w:rPr>
            </w:pPr>
            <w:r>
              <w:rPr>
                <w:rFonts w:hint="eastAsia" w:ascii="宋体" w:hAnsi="宋体" w:eastAsia="宋体"/>
                <w:sz w:val="24"/>
                <w:szCs w:val="24"/>
                <w:highlight w:val="green"/>
              </w:rPr>
              <w:t>深圳市绿色金融协会综合管理部副主任，先后在</w:t>
            </w:r>
            <w:r>
              <w:rPr>
                <w:rFonts w:hint="eastAsia" w:ascii="宋体" w:hAnsi="宋体" w:eastAsia="宋体"/>
                <w:sz w:val="24"/>
                <w:szCs w:val="24"/>
                <w:highlight w:val="green"/>
              </w:rPr>
              <w:t>能源环境技术公司、资本管理公司等机构</w:t>
            </w:r>
            <w:r>
              <w:rPr>
                <w:rFonts w:hint="eastAsia" w:ascii="宋体" w:hAnsi="宋体" w:eastAsia="宋体"/>
                <w:sz w:val="24"/>
                <w:szCs w:val="24"/>
              </w:rPr>
              <w:t>担任综合部经理和投资经理，拥有多年行政管理经验。</w:t>
            </w:r>
          </w:p>
        </w:tc>
      </w:tr>
      <w:tr>
        <w:tblPrEx>
          <w:tblCellMar>
            <w:top w:w="0" w:type="dxa"/>
            <w:left w:w="108" w:type="dxa"/>
            <w:bottom w:w="0" w:type="dxa"/>
            <w:right w:w="108" w:type="dxa"/>
          </w:tblCellMar>
        </w:tblPrEx>
        <w:trPr>
          <w:trHeight w:val="593"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sz w:val="24"/>
                <w:szCs w:val="24"/>
              </w:rPr>
            </w:pPr>
            <w:r>
              <w:rPr>
                <w:rFonts w:hint="eastAsia" w:ascii="宋体" w:hAnsi="宋体" w:eastAsia="宋体"/>
                <w:sz w:val="24"/>
                <w:szCs w:val="24"/>
              </w:rPr>
              <w:t>谢毅</w:t>
            </w:r>
          </w:p>
        </w:tc>
        <w:tc>
          <w:tcPr>
            <w:tcW w:w="2694"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项目成员</w:t>
            </w:r>
          </w:p>
          <w:p>
            <w:pPr>
              <w:widowControl/>
              <w:spacing w:line="360" w:lineRule="auto"/>
              <w:ind w:firstLine="0" w:firstLineChars="0"/>
              <w:jc w:val="center"/>
            </w:pPr>
            <w:r>
              <w:rPr>
                <w:rFonts w:hint="eastAsia" w:ascii="宋体" w:hAnsi="宋体" w:eastAsia="宋体"/>
                <w:sz w:val="24"/>
                <w:szCs w:val="24"/>
              </w:rPr>
              <w:t>组织、协调、跟进课程实施及后勤保障</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left"/>
              <w:rPr>
                <w:rFonts w:ascii="宋体" w:hAnsi="宋体" w:eastAsia="宋体"/>
                <w:sz w:val="24"/>
                <w:szCs w:val="24"/>
              </w:rPr>
            </w:pPr>
            <w:r>
              <w:rPr>
                <w:rFonts w:hint="eastAsia" w:ascii="宋体" w:hAnsi="宋体" w:eastAsia="宋体"/>
                <w:sz w:val="24"/>
                <w:szCs w:val="24"/>
              </w:rPr>
              <w:t>新西兰惠灵顿维多利亚大学会计与货币金融学士，曾担任新西兰澳新银行客户经理，兴业银行深圳分行绿色金融部产品经理，现就职于深圳市绿色金融协会负责会员管理。</w:t>
            </w:r>
          </w:p>
        </w:tc>
      </w:tr>
      <w:tr>
        <w:tblPrEx>
          <w:tblCellMar>
            <w:top w:w="0" w:type="dxa"/>
            <w:left w:w="108" w:type="dxa"/>
            <w:bottom w:w="0" w:type="dxa"/>
            <w:right w:w="108" w:type="dxa"/>
          </w:tblCellMar>
        </w:tblPrEx>
        <w:trPr>
          <w:trHeight w:val="593"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sz w:val="24"/>
                <w:szCs w:val="24"/>
              </w:rPr>
            </w:pPr>
            <w:r>
              <w:rPr>
                <w:rFonts w:hint="eastAsia" w:ascii="宋体" w:hAnsi="宋体" w:eastAsia="宋体"/>
                <w:sz w:val="24"/>
                <w:szCs w:val="24"/>
              </w:rPr>
              <w:t>资辉琼</w:t>
            </w:r>
          </w:p>
        </w:tc>
        <w:tc>
          <w:tcPr>
            <w:tcW w:w="2694"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rFonts w:ascii="宋体" w:hAnsi="宋体" w:eastAsia="宋体" w:cs="宋体"/>
                <w:color w:val="000000"/>
                <w:kern w:val="0"/>
                <w:sz w:val="24"/>
                <w:szCs w:val="24"/>
              </w:rPr>
            </w:pPr>
          </w:p>
        </w:tc>
        <w:tc>
          <w:tcPr>
            <w:tcW w:w="4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left"/>
              <w:rPr>
                <w:rFonts w:ascii="宋体" w:hAnsi="宋体" w:eastAsia="宋体"/>
                <w:sz w:val="24"/>
                <w:szCs w:val="24"/>
              </w:rPr>
            </w:pPr>
            <w:r>
              <w:rPr>
                <w:rFonts w:hint="eastAsia" w:ascii="宋体" w:hAnsi="宋体" w:eastAsia="宋体"/>
                <w:sz w:val="24"/>
                <w:szCs w:val="24"/>
              </w:rPr>
              <w:t>深圳市绿色金融协会战略研究部研究员。多次参与深圳市政府双碳及绿色金融文件编制工作，深度参与绿色金融行业标准、《深圳经济特区绿色金融条例》配套标准制度的研究与制定。</w:t>
            </w:r>
          </w:p>
        </w:tc>
      </w:tr>
    </w:tbl>
    <w:p>
      <w:pPr>
        <w:ind w:firstLine="643"/>
        <w:rPr>
          <w:rFonts w:ascii="黑体" w:hAnsi="黑体" w:eastAsia="黑体"/>
          <w:b/>
          <w:bCs/>
          <w:szCs w:val="36"/>
        </w:rPr>
      </w:pPr>
    </w:p>
    <w:p>
      <w:pPr>
        <w:pStyle w:val="2"/>
        <w:numPr>
          <w:ilvl w:val="0"/>
          <w:numId w:val="0"/>
        </w:numPr>
        <w:ind w:left="643"/>
        <w:rPr>
          <w:b w:val="0"/>
          <w:bCs w:val="0"/>
        </w:rPr>
      </w:pPr>
      <w:r>
        <w:rPr>
          <w:rFonts w:hint="eastAsia"/>
          <w:b w:val="0"/>
          <w:bCs w:val="0"/>
        </w:rPr>
        <w:t>五、考核要求</w:t>
      </w:r>
    </w:p>
    <w:p>
      <w:pPr>
        <w:pStyle w:val="3"/>
        <w:ind w:firstLine="640"/>
        <w:rPr>
          <w:b w:val="0"/>
          <w:bCs w:val="0"/>
        </w:rPr>
      </w:pPr>
      <w:r>
        <w:rPr>
          <w:rFonts w:hint="eastAsia"/>
          <w:b w:val="0"/>
          <w:bCs w:val="0"/>
        </w:rPr>
        <w:t>（一）考勤达标</w:t>
      </w:r>
    </w:p>
    <w:p>
      <w:pPr>
        <w:ind w:firstLine="640"/>
        <w:rPr>
          <w:b/>
          <w:bCs/>
          <w:shd w:val="clear" w:color="auto" w:fill="FFFFFF"/>
        </w:rPr>
      </w:pPr>
      <w:r>
        <w:rPr>
          <w:rFonts w:hint="eastAsia"/>
          <w:shd w:val="clear" w:color="auto" w:fill="FFFFFF"/>
        </w:rPr>
        <w:t>总课时为</w:t>
      </w:r>
      <w:r>
        <w:rPr>
          <w:shd w:val="clear" w:color="auto" w:fill="FFFFFF"/>
        </w:rPr>
        <w:t>38</w:t>
      </w:r>
      <w:r>
        <w:rPr>
          <w:rFonts w:hint="eastAsia"/>
          <w:shd w:val="clear" w:color="auto" w:fill="FFFFFF"/>
        </w:rPr>
        <w:t>课时，学员缺勤不得超过总课时的1</w:t>
      </w:r>
      <w:r>
        <w:rPr>
          <w:shd w:val="clear" w:color="auto" w:fill="FFFFFF"/>
        </w:rPr>
        <w:t>/6</w:t>
      </w:r>
      <w:r>
        <w:rPr>
          <w:rFonts w:hint="eastAsia"/>
          <w:shd w:val="clear" w:color="auto" w:fill="FFFFFF"/>
        </w:rPr>
        <w:t>。</w:t>
      </w:r>
    </w:p>
    <w:p>
      <w:pPr>
        <w:pStyle w:val="3"/>
        <w:ind w:firstLine="640"/>
        <w:rPr>
          <w:b w:val="0"/>
          <w:bCs w:val="0"/>
        </w:rPr>
      </w:pPr>
      <w:r>
        <w:rPr>
          <w:rFonts w:hint="eastAsia"/>
          <w:b w:val="0"/>
          <w:bCs w:val="0"/>
        </w:rPr>
        <w:t>（二）提交学习报告</w:t>
      </w:r>
    </w:p>
    <w:p>
      <w:pPr>
        <w:ind w:firstLine="640"/>
        <w:rPr>
          <w:b/>
          <w:bCs/>
          <w:shd w:val="clear" w:color="auto" w:fill="FFFFFF"/>
        </w:rPr>
      </w:pPr>
      <w:r>
        <w:rPr>
          <w:rFonts w:hint="eastAsia"/>
          <w:shd w:val="clear" w:color="auto" w:fill="FFFFFF"/>
        </w:rPr>
        <w:t>结业前，学员应依据课程要求提交专题调研报告，调研报告主题选取将充分征求学员意见，或依据市金融局要求确定。</w:t>
      </w:r>
    </w:p>
    <w:p>
      <w:pPr>
        <w:pStyle w:val="3"/>
        <w:ind w:firstLine="640"/>
        <w:rPr>
          <w:b w:val="0"/>
          <w:bCs w:val="0"/>
        </w:rPr>
      </w:pPr>
      <w:r>
        <w:rPr>
          <w:rFonts w:hint="eastAsia"/>
          <w:b w:val="0"/>
          <w:bCs w:val="0"/>
        </w:rPr>
        <w:t>（三）考核结果运用</w:t>
      </w:r>
    </w:p>
    <w:p>
      <w:pPr>
        <w:spacing w:line="360" w:lineRule="auto"/>
        <w:ind w:firstLine="640"/>
        <w:rPr>
          <w:rFonts w:ascii="仿宋_GB2312" w:hAnsi="仿宋_GB2312" w:cs="仿宋_GB2312"/>
          <w:color w:val="333333"/>
          <w:kern w:val="0"/>
          <w:szCs w:val="32"/>
          <w:shd w:val="clear" w:color="auto" w:fill="FFFFFF"/>
        </w:rPr>
      </w:pPr>
      <w:r>
        <w:rPr>
          <w:rFonts w:hint="eastAsia" w:ascii="仿宋_GB2312" w:hAnsi="仿宋_GB2312" w:cs="仿宋_GB2312"/>
          <w:color w:val="333333"/>
          <w:kern w:val="0"/>
          <w:szCs w:val="32"/>
          <w:shd w:val="clear" w:color="auto" w:fill="FFFFFF"/>
        </w:rPr>
        <w:t>享受财政补贴的学员考勤达标且提交调研报告的，才可享受培养经费资助。</w:t>
      </w:r>
    </w:p>
    <w:p>
      <w:pPr>
        <w:pStyle w:val="2"/>
        <w:numPr>
          <w:ilvl w:val="0"/>
          <w:numId w:val="0"/>
        </w:numPr>
        <w:ind w:left="643"/>
        <w:rPr>
          <w:b w:val="0"/>
          <w:bCs w:val="0"/>
        </w:rPr>
      </w:pPr>
      <w:r>
        <w:rPr>
          <w:rFonts w:hint="eastAsia"/>
          <w:b w:val="0"/>
          <w:bCs w:val="0"/>
        </w:rPr>
        <w:t>六、学费缴纳</w:t>
      </w:r>
    </w:p>
    <w:p>
      <w:pPr>
        <w:pStyle w:val="3"/>
        <w:ind w:firstLine="640"/>
        <w:rPr>
          <w:b w:val="0"/>
          <w:bCs w:val="0"/>
          <w:shd w:val="clear" w:color="auto" w:fill="FFFFFF"/>
        </w:rPr>
      </w:pPr>
      <w:r>
        <w:rPr>
          <w:rFonts w:hint="eastAsia"/>
          <w:b w:val="0"/>
          <w:bCs w:val="0"/>
          <w:shd w:val="clear" w:color="auto" w:fill="FFFFFF"/>
        </w:rPr>
        <w:t>（一）费用标准</w:t>
      </w:r>
    </w:p>
    <w:p>
      <w:pPr>
        <w:ind w:firstLine="640"/>
      </w:pPr>
      <w:r>
        <w:rPr>
          <w:rFonts w:hint="eastAsia"/>
        </w:rPr>
        <w:t>2022年深圳市金融骨干人才培养计划系列专题研修班学费为14,680元/人，学费含师资费、场地费、餐费（上课期间工作餐）、学习资料费、团建活动费、项目管理费等。其中财政补贴学员先行缴纳全额学费，项目结业到达考核标准，发放财政补贴1万元/人。非财政补贴学员需自费缴纳全额学费14,680元。</w:t>
      </w:r>
    </w:p>
    <w:p>
      <w:pPr>
        <w:pStyle w:val="3"/>
        <w:ind w:firstLine="640"/>
        <w:rPr>
          <w:b w:val="0"/>
          <w:bCs w:val="0"/>
          <w:shd w:val="clear" w:color="auto" w:fill="FFFFFF"/>
        </w:rPr>
      </w:pPr>
      <w:r>
        <w:rPr>
          <w:rFonts w:hint="eastAsia"/>
          <w:b w:val="0"/>
          <w:bCs w:val="0"/>
          <w:shd w:val="clear" w:color="auto" w:fill="FFFFFF"/>
        </w:rPr>
        <w:t>（二）收款账号</w:t>
      </w:r>
    </w:p>
    <w:p>
      <w:pPr>
        <w:ind w:firstLine="640"/>
      </w:pPr>
      <w:r>
        <w:rPr>
          <w:rFonts w:hint="eastAsia"/>
        </w:rPr>
        <w:t>收款单位：深圳市绿色金融协会</w:t>
      </w:r>
    </w:p>
    <w:p>
      <w:pPr>
        <w:ind w:firstLine="640"/>
      </w:pPr>
      <w:r>
        <w:rPr>
          <w:rFonts w:hint="eastAsia"/>
        </w:rPr>
        <w:t>开户银行：兴业银行股份有限公司深圳南新支行</w:t>
      </w:r>
      <w:r>
        <w:t xml:space="preserve"> </w:t>
      </w:r>
    </w:p>
    <w:p>
      <w:pPr>
        <w:ind w:firstLine="640"/>
      </w:pPr>
      <w:r>
        <w:rPr>
          <w:rFonts w:hint="eastAsia"/>
        </w:rPr>
        <w:t>账    号：337180100100354025</w:t>
      </w:r>
    </w:p>
    <w:p>
      <w:pPr>
        <w:ind w:firstLine="560"/>
        <w:rPr>
          <w:rFonts w:ascii="仿宋_GB2312" w:hAnsi="楷体"/>
          <w:szCs w:val="32"/>
        </w:rPr>
      </w:pPr>
      <w:r>
        <w:rPr>
          <w:rFonts w:hint="eastAsia" w:ascii="仿宋_GB2312" w:hAnsi="仿宋_GB2312" w:cs="仿宋_GB2312"/>
          <w:color w:val="333333"/>
          <w:kern w:val="0"/>
          <w:sz w:val="28"/>
          <w:szCs w:val="28"/>
          <w:shd w:val="clear" w:color="auto" w:fill="FFFFFF"/>
        </w:rPr>
        <w:t>注：转帐时请注明：202</w:t>
      </w:r>
      <w:r>
        <w:rPr>
          <w:rFonts w:ascii="仿宋_GB2312" w:hAnsi="仿宋_GB2312" w:cs="仿宋_GB2312"/>
          <w:color w:val="333333"/>
          <w:kern w:val="0"/>
          <w:sz w:val="28"/>
          <w:szCs w:val="28"/>
          <w:shd w:val="clear" w:color="auto" w:fill="FFFFFF"/>
        </w:rPr>
        <w:t>2</w:t>
      </w:r>
      <w:r>
        <w:rPr>
          <w:rFonts w:hint="eastAsia" w:ascii="仿宋_GB2312" w:hAnsi="仿宋_GB2312" w:cs="仿宋_GB2312"/>
          <w:color w:val="333333"/>
          <w:kern w:val="0"/>
          <w:sz w:val="28"/>
          <w:szCs w:val="28"/>
          <w:shd w:val="clear" w:color="auto" w:fill="FFFFFF"/>
        </w:rPr>
        <w:t>年深圳市金融骨干人才研修班+单位+学员姓名</w:t>
      </w:r>
    </w:p>
    <w:p>
      <w:pPr>
        <w:pStyle w:val="3"/>
        <w:ind w:firstLine="640"/>
        <w:rPr>
          <w:b w:val="0"/>
          <w:bCs w:val="0"/>
          <w:shd w:val="clear" w:color="auto" w:fill="FFFFFF"/>
        </w:rPr>
      </w:pPr>
      <w:r>
        <w:rPr>
          <w:rFonts w:hint="eastAsia"/>
          <w:b w:val="0"/>
          <w:bCs w:val="0"/>
          <w:shd w:val="clear" w:color="auto" w:fill="FFFFFF"/>
        </w:rPr>
        <w:t>（三）发票开具</w:t>
      </w:r>
    </w:p>
    <w:p>
      <w:pPr>
        <w:ind w:firstLine="640"/>
      </w:pPr>
      <w:r>
        <w:rPr>
          <w:rFonts w:hint="eastAsia"/>
        </w:rPr>
        <w:t>需要提供：发票类型（电子普通发票&amp;增值税专用发票）、单位名称、纳税人识别号、地址、联系电话、开户银行、银行账号。</w:t>
      </w:r>
    </w:p>
    <w:p>
      <w:pPr>
        <w:pStyle w:val="3"/>
        <w:ind w:firstLine="640"/>
        <w:rPr>
          <w:b w:val="0"/>
          <w:bCs w:val="0"/>
          <w:shd w:val="clear" w:color="auto" w:fill="FFFFFF"/>
        </w:rPr>
      </w:pPr>
      <w:r>
        <w:rPr>
          <w:rFonts w:hint="eastAsia"/>
          <w:b w:val="0"/>
          <w:bCs w:val="0"/>
          <w:shd w:val="clear" w:color="auto" w:fill="FFFFFF"/>
        </w:rPr>
        <w:t>（四）联系方式</w:t>
      </w:r>
    </w:p>
    <w:p>
      <w:pPr>
        <w:ind w:firstLine="640"/>
      </w:pPr>
      <w:r>
        <w:rPr>
          <w:rFonts w:hint="eastAsia"/>
        </w:rPr>
        <w:t>联系人：谢毅</w:t>
      </w:r>
    </w:p>
    <w:p>
      <w:pPr>
        <w:spacing w:after="240"/>
        <w:ind w:firstLine="640"/>
      </w:pPr>
      <w:r>
        <w:rPr>
          <w:rFonts w:hint="eastAsia"/>
        </w:rPr>
        <w:t>电话：13</w:t>
      </w:r>
      <w:r>
        <w:t>699887452</w:t>
      </w:r>
    </w:p>
    <w:p>
      <w:pPr>
        <w:pStyle w:val="2"/>
        <w:numPr>
          <w:ilvl w:val="0"/>
          <w:numId w:val="0"/>
        </w:numPr>
        <w:ind w:left="643"/>
        <w:rPr>
          <w:b w:val="0"/>
          <w:bCs w:val="0"/>
        </w:rPr>
      </w:pPr>
      <w:r>
        <w:rPr>
          <w:rFonts w:hint="eastAsia"/>
          <w:b w:val="0"/>
          <w:bCs w:val="0"/>
        </w:rPr>
        <w:t>七、办学机构简介</w:t>
      </w:r>
    </w:p>
    <w:p>
      <w:pPr>
        <w:ind w:firstLine="640"/>
      </w:pPr>
      <w:r>
        <w:rPr>
          <w:rFonts w:hint="eastAsia"/>
        </w:rPr>
        <w:t>为贯彻落实《深圳经济特区绿色金融条例》（以下简称《绿金条例》），在深圳市地方金融监督管理局和深圳市民政局指导下，深圳市绿色金融协会（以下简称“深圳绿金协”“协会”）于2021年8月正式成立，由国家开发银行深圳分行担任首届会长单位。截至2</w:t>
      </w:r>
      <w:r>
        <w:t>022</w:t>
      </w:r>
      <w:r>
        <w:rPr>
          <w:rFonts w:hint="eastAsia"/>
        </w:rPr>
        <w:t>年3月，深圳绿金协共有会员单位130余家，涵盖银行、证券、保险、基金、期货、融资租赁、绿色要素交易平台、绿色金融咨询服务机构、绿色产业实体企业、学术研究机构及公益组织等金融全业态及绿色金融全产业链条，初步形成了共享融通的绿色金融生态圈。</w:t>
      </w:r>
    </w:p>
    <w:p>
      <w:pPr>
        <w:ind w:firstLine="640"/>
      </w:pPr>
      <w:r>
        <w:rPr>
          <w:rFonts w:hint="eastAsia"/>
        </w:rPr>
        <w:t>深圳绿金协以完善制度体系建设、搭建“政金企”沟通桥梁、推动行业发展、优化营商环境为目标，致力于为“双区”“双碳”战略服务，打造立足深圳、服务湾区、面向国际的绿色金融行业协会标杆，为全球可持续发展贡献绿色金融力量。深圳绿金协秘书处同时兼任粤港澳大湾区绿色金融联盟秘书处执行机构，依托四地合作机构共同推动粤港澳大湾区绿色金融标准互认、大湾区绿色及可持续金融的融合与发展。</w:t>
      </w:r>
    </w:p>
    <w:p>
      <w:pPr>
        <w:ind w:firstLine="640"/>
      </w:pPr>
      <w:r>
        <w:rPr>
          <w:rFonts w:hint="eastAsia"/>
        </w:rPr>
        <w:t>以会员单位及专家团队为依托，深圳绿金协组建了专业化团队及广泛的国内国际合作网络，承接《绿金条例》配套制度标准制订、绿色金融能力建设、推动绿色及可持续金融产品与服务创新等各项工作任务。在主管部门指导下，开展《深圳市金融机构环境信息披露指引》、《深圳市绿色投资评估指引》、《深圳市绿色企业及项目评估认定指引》及《深圳市金融机构绿色金融制度建设指引》等制度标准的制订；深入参与深圳绿色金融“双碳”制度设计及绿色金融专营机构评价、推动绿色金融产品与服务创新等工作；组织每周专业分享会及每月专题论坛，持续开展绿色及可持续金融能力建设；由深圳绿金协负责建设和运维的深圳绿色金融公共服务平台，将为金融机构提供环境信息披露、绿色投资评估、绿色企业（项目）库管理、绿色金融统计等综合服务。</w:t>
      </w:r>
    </w:p>
    <w:p>
      <w:pPr>
        <w:spacing w:line="560" w:lineRule="exact"/>
        <w:ind w:firstLine="560"/>
        <w:jc w:val="left"/>
        <w:outlineLvl w:val="1"/>
        <w:rPr>
          <w:rFonts w:ascii="仿宋_GB2312" w:hAnsi="楷体"/>
          <w:color w:val="FF0000"/>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430176"/>
    </w:sdtPr>
    <w:sdtContent>
      <w:p>
        <w:pPr>
          <w:pStyle w:val="4"/>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YzEyOTZhNTg4MWZiM2E5ODAxMDVlMTFhZjc0ZWQifQ=="/>
  </w:docVars>
  <w:rsids>
    <w:rsidRoot w:val="00E05B87"/>
    <w:rsid w:val="00001D6E"/>
    <w:rsid w:val="00003B1F"/>
    <w:rsid w:val="00003E07"/>
    <w:rsid w:val="0000405D"/>
    <w:rsid w:val="000118E1"/>
    <w:rsid w:val="00017F20"/>
    <w:rsid w:val="000416B3"/>
    <w:rsid w:val="00045E3E"/>
    <w:rsid w:val="0006544B"/>
    <w:rsid w:val="000823C6"/>
    <w:rsid w:val="000A0A8F"/>
    <w:rsid w:val="000A3BAE"/>
    <w:rsid w:val="000A76AF"/>
    <w:rsid w:val="000D33A1"/>
    <w:rsid w:val="000D5DDF"/>
    <w:rsid w:val="000E0AAA"/>
    <w:rsid w:val="000E1F5C"/>
    <w:rsid w:val="000E6657"/>
    <w:rsid w:val="00100B87"/>
    <w:rsid w:val="00101090"/>
    <w:rsid w:val="001048A9"/>
    <w:rsid w:val="00112E33"/>
    <w:rsid w:val="001262EB"/>
    <w:rsid w:val="0013427E"/>
    <w:rsid w:val="00135284"/>
    <w:rsid w:val="00140863"/>
    <w:rsid w:val="001463C3"/>
    <w:rsid w:val="0015050F"/>
    <w:rsid w:val="00162E4B"/>
    <w:rsid w:val="00167449"/>
    <w:rsid w:val="001862A8"/>
    <w:rsid w:val="001B23FA"/>
    <w:rsid w:val="001C0569"/>
    <w:rsid w:val="001E270E"/>
    <w:rsid w:val="001E693C"/>
    <w:rsid w:val="001F09EE"/>
    <w:rsid w:val="001F0A69"/>
    <w:rsid w:val="001F0E3C"/>
    <w:rsid w:val="00217AD2"/>
    <w:rsid w:val="00217F05"/>
    <w:rsid w:val="00226D89"/>
    <w:rsid w:val="00231C17"/>
    <w:rsid w:val="00250423"/>
    <w:rsid w:val="002504FB"/>
    <w:rsid w:val="00260EFA"/>
    <w:rsid w:val="002611BB"/>
    <w:rsid w:val="00264708"/>
    <w:rsid w:val="002839B4"/>
    <w:rsid w:val="002924F1"/>
    <w:rsid w:val="002C0B8A"/>
    <w:rsid w:val="002C6B83"/>
    <w:rsid w:val="002E2E72"/>
    <w:rsid w:val="002F093D"/>
    <w:rsid w:val="002F16BA"/>
    <w:rsid w:val="00305576"/>
    <w:rsid w:val="003128EB"/>
    <w:rsid w:val="003140A5"/>
    <w:rsid w:val="00330586"/>
    <w:rsid w:val="00351E2C"/>
    <w:rsid w:val="00361718"/>
    <w:rsid w:val="00365E89"/>
    <w:rsid w:val="00382893"/>
    <w:rsid w:val="003868C6"/>
    <w:rsid w:val="00392BF1"/>
    <w:rsid w:val="00394EDF"/>
    <w:rsid w:val="003A1D0F"/>
    <w:rsid w:val="003A5394"/>
    <w:rsid w:val="003B757D"/>
    <w:rsid w:val="003C39E7"/>
    <w:rsid w:val="003C3CD7"/>
    <w:rsid w:val="003C51D3"/>
    <w:rsid w:val="003C5624"/>
    <w:rsid w:val="003D0B8D"/>
    <w:rsid w:val="003D16BE"/>
    <w:rsid w:val="003D2A3F"/>
    <w:rsid w:val="003D4AA8"/>
    <w:rsid w:val="003E77B8"/>
    <w:rsid w:val="003F18E5"/>
    <w:rsid w:val="0040195F"/>
    <w:rsid w:val="00401DC1"/>
    <w:rsid w:val="004044AB"/>
    <w:rsid w:val="00404F7F"/>
    <w:rsid w:val="00411716"/>
    <w:rsid w:val="00414295"/>
    <w:rsid w:val="0042791E"/>
    <w:rsid w:val="0044274D"/>
    <w:rsid w:val="004559FA"/>
    <w:rsid w:val="004565D9"/>
    <w:rsid w:val="004603EC"/>
    <w:rsid w:val="00466D8A"/>
    <w:rsid w:val="00483837"/>
    <w:rsid w:val="004A39C8"/>
    <w:rsid w:val="004A4267"/>
    <w:rsid w:val="004B3C2E"/>
    <w:rsid w:val="004C3BB9"/>
    <w:rsid w:val="004C7632"/>
    <w:rsid w:val="004D6B04"/>
    <w:rsid w:val="004E14CD"/>
    <w:rsid w:val="004E3DE7"/>
    <w:rsid w:val="00503F72"/>
    <w:rsid w:val="00506945"/>
    <w:rsid w:val="00517605"/>
    <w:rsid w:val="005214E2"/>
    <w:rsid w:val="00534C7A"/>
    <w:rsid w:val="00536B25"/>
    <w:rsid w:val="0054125E"/>
    <w:rsid w:val="005445D6"/>
    <w:rsid w:val="00552E47"/>
    <w:rsid w:val="00555FEA"/>
    <w:rsid w:val="00556519"/>
    <w:rsid w:val="00560A31"/>
    <w:rsid w:val="00563F01"/>
    <w:rsid w:val="005673A4"/>
    <w:rsid w:val="00585224"/>
    <w:rsid w:val="00595B15"/>
    <w:rsid w:val="005B0384"/>
    <w:rsid w:val="005C0E88"/>
    <w:rsid w:val="005F1924"/>
    <w:rsid w:val="005F2BCE"/>
    <w:rsid w:val="005F2D4D"/>
    <w:rsid w:val="005F421B"/>
    <w:rsid w:val="00603576"/>
    <w:rsid w:val="006104B1"/>
    <w:rsid w:val="00616711"/>
    <w:rsid w:val="006257D6"/>
    <w:rsid w:val="00630D75"/>
    <w:rsid w:val="00637CC2"/>
    <w:rsid w:val="00656BE8"/>
    <w:rsid w:val="00661C2B"/>
    <w:rsid w:val="00666D80"/>
    <w:rsid w:val="0067013A"/>
    <w:rsid w:val="0067101F"/>
    <w:rsid w:val="006819CD"/>
    <w:rsid w:val="00692E97"/>
    <w:rsid w:val="00695596"/>
    <w:rsid w:val="006C1EBE"/>
    <w:rsid w:val="006C4C54"/>
    <w:rsid w:val="006D605C"/>
    <w:rsid w:val="006D6EF1"/>
    <w:rsid w:val="0070569B"/>
    <w:rsid w:val="00725825"/>
    <w:rsid w:val="00725A02"/>
    <w:rsid w:val="0073299E"/>
    <w:rsid w:val="007412C0"/>
    <w:rsid w:val="007422A6"/>
    <w:rsid w:val="00746020"/>
    <w:rsid w:val="007526F2"/>
    <w:rsid w:val="00755FF0"/>
    <w:rsid w:val="0076216D"/>
    <w:rsid w:val="00777EA7"/>
    <w:rsid w:val="007943B4"/>
    <w:rsid w:val="007965BE"/>
    <w:rsid w:val="007968F1"/>
    <w:rsid w:val="007A2401"/>
    <w:rsid w:val="007A522E"/>
    <w:rsid w:val="007B362B"/>
    <w:rsid w:val="007B7E0A"/>
    <w:rsid w:val="007C3732"/>
    <w:rsid w:val="007D73E8"/>
    <w:rsid w:val="007E3956"/>
    <w:rsid w:val="007E5509"/>
    <w:rsid w:val="007F2758"/>
    <w:rsid w:val="007F7A5A"/>
    <w:rsid w:val="008027A7"/>
    <w:rsid w:val="00807401"/>
    <w:rsid w:val="0081413E"/>
    <w:rsid w:val="00815E91"/>
    <w:rsid w:val="00820558"/>
    <w:rsid w:val="008207C8"/>
    <w:rsid w:val="00841C5C"/>
    <w:rsid w:val="00844B7B"/>
    <w:rsid w:val="008478C3"/>
    <w:rsid w:val="00866DA6"/>
    <w:rsid w:val="00867BF9"/>
    <w:rsid w:val="00870E79"/>
    <w:rsid w:val="00890AA9"/>
    <w:rsid w:val="008A0D1C"/>
    <w:rsid w:val="008A1AAE"/>
    <w:rsid w:val="008A2EDA"/>
    <w:rsid w:val="008A5ECE"/>
    <w:rsid w:val="008B1974"/>
    <w:rsid w:val="008B26B5"/>
    <w:rsid w:val="008B4469"/>
    <w:rsid w:val="008C4299"/>
    <w:rsid w:val="008D6F3D"/>
    <w:rsid w:val="008D77E9"/>
    <w:rsid w:val="008F1486"/>
    <w:rsid w:val="008F784F"/>
    <w:rsid w:val="009025DC"/>
    <w:rsid w:val="009175F3"/>
    <w:rsid w:val="009208BA"/>
    <w:rsid w:val="0092752A"/>
    <w:rsid w:val="00940F8D"/>
    <w:rsid w:val="00943B12"/>
    <w:rsid w:val="009904D9"/>
    <w:rsid w:val="009A0FFA"/>
    <w:rsid w:val="009A4BE1"/>
    <w:rsid w:val="009B0FEE"/>
    <w:rsid w:val="009B301A"/>
    <w:rsid w:val="009C533E"/>
    <w:rsid w:val="009D5966"/>
    <w:rsid w:val="009E1940"/>
    <w:rsid w:val="009F4550"/>
    <w:rsid w:val="009F761C"/>
    <w:rsid w:val="00A00867"/>
    <w:rsid w:val="00A10595"/>
    <w:rsid w:val="00A13EB1"/>
    <w:rsid w:val="00A21F71"/>
    <w:rsid w:val="00A30C77"/>
    <w:rsid w:val="00A31ECB"/>
    <w:rsid w:val="00A34E8A"/>
    <w:rsid w:val="00A35D49"/>
    <w:rsid w:val="00A51D12"/>
    <w:rsid w:val="00A56010"/>
    <w:rsid w:val="00A56F7F"/>
    <w:rsid w:val="00A671F0"/>
    <w:rsid w:val="00A830C2"/>
    <w:rsid w:val="00A97AD5"/>
    <w:rsid w:val="00AC1DB5"/>
    <w:rsid w:val="00B00F77"/>
    <w:rsid w:val="00B12800"/>
    <w:rsid w:val="00B354C3"/>
    <w:rsid w:val="00B52234"/>
    <w:rsid w:val="00B52DB6"/>
    <w:rsid w:val="00B55063"/>
    <w:rsid w:val="00B65BB2"/>
    <w:rsid w:val="00B67EEF"/>
    <w:rsid w:val="00B913F6"/>
    <w:rsid w:val="00B92030"/>
    <w:rsid w:val="00BA24FC"/>
    <w:rsid w:val="00BA4E4A"/>
    <w:rsid w:val="00BD1985"/>
    <w:rsid w:val="00BD5D4A"/>
    <w:rsid w:val="00BE0E43"/>
    <w:rsid w:val="00BE539F"/>
    <w:rsid w:val="00C02F9E"/>
    <w:rsid w:val="00C03510"/>
    <w:rsid w:val="00C11B0B"/>
    <w:rsid w:val="00C1750C"/>
    <w:rsid w:val="00C354DC"/>
    <w:rsid w:val="00C3630D"/>
    <w:rsid w:val="00C72A6C"/>
    <w:rsid w:val="00C8494F"/>
    <w:rsid w:val="00C86C89"/>
    <w:rsid w:val="00CA6625"/>
    <w:rsid w:val="00CC006F"/>
    <w:rsid w:val="00CC64E6"/>
    <w:rsid w:val="00CD2ECF"/>
    <w:rsid w:val="00CE1BB5"/>
    <w:rsid w:val="00CE2470"/>
    <w:rsid w:val="00CF0B19"/>
    <w:rsid w:val="00D13A32"/>
    <w:rsid w:val="00D155BD"/>
    <w:rsid w:val="00D225DC"/>
    <w:rsid w:val="00D30F04"/>
    <w:rsid w:val="00D44642"/>
    <w:rsid w:val="00D46852"/>
    <w:rsid w:val="00D52676"/>
    <w:rsid w:val="00D660DB"/>
    <w:rsid w:val="00D6728D"/>
    <w:rsid w:val="00D805C6"/>
    <w:rsid w:val="00D9001C"/>
    <w:rsid w:val="00DC06AC"/>
    <w:rsid w:val="00DC400B"/>
    <w:rsid w:val="00DD590E"/>
    <w:rsid w:val="00DF5FD6"/>
    <w:rsid w:val="00E037A7"/>
    <w:rsid w:val="00E05B87"/>
    <w:rsid w:val="00E11D5A"/>
    <w:rsid w:val="00E13682"/>
    <w:rsid w:val="00E16573"/>
    <w:rsid w:val="00E25348"/>
    <w:rsid w:val="00E3145A"/>
    <w:rsid w:val="00E53C93"/>
    <w:rsid w:val="00E55EC0"/>
    <w:rsid w:val="00E739AA"/>
    <w:rsid w:val="00E74E63"/>
    <w:rsid w:val="00E75A3B"/>
    <w:rsid w:val="00E8137A"/>
    <w:rsid w:val="00E86985"/>
    <w:rsid w:val="00E94412"/>
    <w:rsid w:val="00EA4931"/>
    <w:rsid w:val="00EB3AB7"/>
    <w:rsid w:val="00EC4F8F"/>
    <w:rsid w:val="00EF1FC0"/>
    <w:rsid w:val="00EF332A"/>
    <w:rsid w:val="00EF4592"/>
    <w:rsid w:val="00EF4619"/>
    <w:rsid w:val="00EF6708"/>
    <w:rsid w:val="00F0696A"/>
    <w:rsid w:val="00F21779"/>
    <w:rsid w:val="00F41C45"/>
    <w:rsid w:val="00F45173"/>
    <w:rsid w:val="00F549F2"/>
    <w:rsid w:val="00F549F4"/>
    <w:rsid w:val="00F64E55"/>
    <w:rsid w:val="00F8182B"/>
    <w:rsid w:val="00F84D23"/>
    <w:rsid w:val="00F85D50"/>
    <w:rsid w:val="00F90122"/>
    <w:rsid w:val="00F9273C"/>
    <w:rsid w:val="00FB5E12"/>
    <w:rsid w:val="00FC0062"/>
    <w:rsid w:val="00FC3550"/>
    <w:rsid w:val="00FC64C0"/>
    <w:rsid w:val="00FC6C07"/>
    <w:rsid w:val="00FD0E06"/>
    <w:rsid w:val="095D64F2"/>
    <w:rsid w:val="0AA825B0"/>
    <w:rsid w:val="0C324B95"/>
    <w:rsid w:val="13F6294C"/>
    <w:rsid w:val="1B850213"/>
    <w:rsid w:val="1F2E6729"/>
    <w:rsid w:val="213750A5"/>
    <w:rsid w:val="237E3C00"/>
    <w:rsid w:val="2D524193"/>
    <w:rsid w:val="2D70630A"/>
    <w:rsid w:val="2DC8262F"/>
    <w:rsid w:val="306E3B3E"/>
    <w:rsid w:val="35D361D9"/>
    <w:rsid w:val="3A0C3D4A"/>
    <w:rsid w:val="3BD5009B"/>
    <w:rsid w:val="510F05CE"/>
    <w:rsid w:val="5CA50038"/>
    <w:rsid w:val="5EE941C4"/>
    <w:rsid w:val="6B493ED1"/>
    <w:rsid w:val="6EE962EA"/>
    <w:rsid w:val="71724535"/>
    <w:rsid w:val="72A526E9"/>
    <w:rsid w:val="F7948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8"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3"/>
    <w:qFormat/>
    <w:uiPriority w:val="0"/>
    <w:pPr>
      <w:keepLines/>
      <w:numPr>
        <w:ilvl w:val="0"/>
        <w:numId w:val="1"/>
      </w:numPr>
      <w:spacing w:before="120" w:after="120"/>
      <w:ind w:left="0" w:firstLine="200"/>
      <w:outlineLvl w:val="0"/>
    </w:pPr>
    <w:rPr>
      <w:rFonts w:eastAsia="黑体" w:cs="Times New Roman"/>
      <w:b/>
      <w:bCs/>
      <w:color w:val="000000" w:themeColor="text1"/>
      <w:kern w:val="44"/>
      <w14:textFill>
        <w14:solidFill>
          <w14:schemeClr w14:val="tx1"/>
        </w14:solidFill>
      </w14:textFill>
    </w:rPr>
  </w:style>
  <w:style w:type="paragraph" w:styleId="3">
    <w:name w:val="heading 2"/>
    <w:basedOn w:val="1"/>
    <w:next w:val="1"/>
    <w:link w:val="14"/>
    <w:unhideWhenUsed/>
    <w:qFormat/>
    <w:uiPriority w:val="9"/>
    <w:pPr>
      <w:keepNext/>
      <w:keepLines/>
      <w:outlineLvl w:val="1"/>
    </w:pPr>
    <w:rPr>
      <w:rFonts w:eastAsia="楷体_GB2312" w:cstheme="majorBidi"/>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eastAsia="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pPr>
  </w:style>
  <w:style w:type="character" w:customStyle="1" w:styleId="13">
    <w:name w:val="标题 1 字符"/>
    <w:basedOn w:val="9"/>
    <w:link w:val="2"/>
    <w:qFormat/>
    <w:uiPriority w:val="0"/>
    <w:rPr>
      <w:rFonts w:eastAsia="黑体"/>
      <w:b/>
      <w:bCs/>
      <w:color w:val="000000" w:themeColor="text1"/>
      <w:kern w:val="44"/>
      <w:sz w:val="32"/>
      <w:szCs w:val="22"/>
      <w14:textFill>
        <w14:solidFill>
          <w14:schemeClr w14:val="tx1"/>
        </w14:solidFill>
      </w14:textFill>
    </w:rPr>
  </w:style>
  <w:style w:type="character" w:customStyle="1" w:styleId="14">
    <w:name w:val="标题 2 字符"/>
    <w:basedOn w:val="9"/>
    <w:link w:val="3"/>
    <w:qFormat/>
    <w:uiPriority w:val="9"/>
    <w:rPr>
      <w:rFonts w:eastAsia="楷体_GB2312" w:cstheme="majorBidi"/>
      <w:b/>
      <w:bCs/>
      <w:kern w:val="2"/>
      <w:sz w:val="32"/>
      <w:szCs w:val="32"/>
    </w:rPr>
  </w:style>
  <w:style w:type="paragraph" w:customStyle="1" w:styleId="15">
    <w:name w:val="Revision"/>
    <w:hidden/>
    <w:semiHidden/>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748</Words>
  <Characters>4267</Characters>
  <Lines>35</Lines>
  <Paragraphs>10</Paragraphs>
  <TotalTime>302</TotalTime>
  <ScaleCrop>false</ScaleCrop>
  <LinksUpToDate>false</LinksUpToDate>
  <CharactersWithSpaces>5005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2022-06-16T22:34:00Z</dcterms:created>
  <dc:creator>sysu</dc:creator>
  <cp:lastModifiedBy>xuxuelian</cp:lastModifiedBy>
  <dcterms:modified xsi:type="dcterms:W3CDTF">2022-07-05T18:30:37Z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CC392C8CC5DA4F378FAEE8EF4DC92193</vt:lpwstr>
  </property>
</Properties>
</file>