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附件5</w:t>
      </w:r>
    </w:p>
    <w:p>
      <w:pPr>
        <w:keepNext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Times New Roman"/>
          <w:b/>
          <w:bCs/>
          <w:sz w:val="36"/>
          <w:szCs w:val="36"/>
        </w:rPr>
      </w:pPr>
      <w:r>
        <w:rPr>
          <w:rFonts w:hint="eastAsia" w:ascii="黑体" w:hAnsi="黑体" w:eastAsia="黑体" w:cs="Times New Roman"/>
          <w:b/>
          <w:bCs/>
          <w:sz w:val="36"/>
          <w:szCs w:val="36"/>
        </w:rPr>
        <w:t>北京大学汇丰商学院研修班项目介绍</w:t>
      </w:r>
    </w:p>
    <w:p>
      <w:pPr>
        <w:pStyle w:val="2"/>
        <w:keepNext w:val="0"/>
        <w:keepLines/>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textAlignment w:val="auto"/>
        <w:rPr>
          <w:rFonts w:hint="eastAsia"/>
          <w:sz w:val="6"/>
          <w:szCs w:val="2"/>
        </w:rPr>
      </w:pPr>
    </w:p>
    <w:p>
      <w:pPr>
        <w:keepNext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Times New Roman"/>
          <w:b/>
          <w:bCs/>
          <w:sz w:val="36"/>
          <w:szCs w:val="36"/>
        </w:rPr>
      </w:pPr>
      <w:r>
        <w:rPr>
          <w:rFonts w:hint="eastAsia" w:ascii="黑体" w:hAnsi="黑体" w:eastAsia="黑体" w:cs="Times New Roman"/>
          <w:b/>
          <w:bCs/>
          <w:sz w:val="36"/>
          <w:szCs w:val="36"/>
        </w:rPr>
        <w:t xml:space="preserve">第一部分 </w:t>
      </w:r>
      <w:r>
        <w:rPr>
          <w:rFonts w:hint="eastAsia" w:ascii="黑体" w:hAnsi="黑体" w:eastAsia="黑体" w:cs="Times New Roman"/>
          <w:b/>
          <w:bCs/>
          <w:sz w:val="36"/>
          <w:szCs w:val="36"/>
          <w:lang w:eastAsia="zh-CN"/>
        </w:rPr>
        <w:t>金融科技研修班</w:t>
      </w:r>
      <w:r>
        <w:rPr>
          <w:rFonts w:hint="eastAsia" w:ascii="黑体" w:hAnsi="黑体" w:eastAsia="黑体" w:cs="Times New Roman"/>
          <w:b/>
          <w:bCs/>
          <w:sz w:val="36"/>
          <w:szCs w:val="36"/>
        </w:rPr>
        <w:t>（项目</w:t>
      </w:r>
      <w:r>
        <w:rPr>
          <w:rFonts w:hint="eastAsia" w:ascii="黑体" w:hAnsi="黑体" w:eastAsia="黑体" w:cs="Times New Roman"/>
          <w:b/>
          <w:bCs/>
          <w:sz w:val="36"/>
          <w:szCs w:val="36"/>
          <w:lang w:eastAsia="zh-CN"/>
        </w:rPr>
        <w:t>一</w:t>
      </w:r>
      <w:r>
        <w:rPr>
          <w:rFonts w:hint="eastAsia" w:ascii="黑体" w:hAnsi="黑体" w:eastAsia="黑体" w:cs="Times New Roman"/>
          <w:b/>
          <w:bCs/>
          <w:sz w:val="36"/>
          <w:szCs w:val="36"/>
        </w:rPr>
        <w:t>）</w:t>
      </w:r>
    </w:p>
    <w:p>
      <w:pPr>
        <w:spacing w:before="240"/>
        <w:ind w:firstLine="640" w:firstLineChars="200"/>
        <w:rPr>
          <w:rFonts w:hint="eastAsia" w:ascii="黑体" w:hAnsi="黑体" w:eastAsia="黑体" w:cs="Times New Roman"/>
          <w:b w:val="0"/>
          <w:bCs w:val="0"/>
          <w:sz w:val="32"/>
          <w:szCs w:val="32"/>
        </w:rPr>
      </w:pPr>
      <w:r>
        <w:rPr>
          <w:rFonts w:hint="eastAsia" w:ascii="黑体" w:hAnsi="黑体" w:eastAsia="黑体" w:cs="Times New Roman"/>
          <w:b w:val="0"/>
          <w:bCs w:val="0"/>
          <w:sz w:val="32"/>
          <w:szCs w:val="32"/>
        </w:rPr>
        <w:t>一、项目亮点</w:t>
      </w:r>
    </w:p>
    <w:p>
      <w:pPr>
        <w:spacing w:line="360" w:lineRule="auto"/>
        <w:ind w:left="1" w:firstLine="640" w:firstLineChars="200"/>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（一）课程概述</w:t>
      </w:r>
    </w:p>
    <w:p>
      <w:pPr>
        <w:spacing w:line="360" w:lineRule="auto"/>
        <w:ind w:left="1" w:firstLine="560" w:firstLineChars="200"/>
        <w:rPr>
          <w:rFonts w:hint="eastAsia" w:ascii="仿宋_GB2312" w:hAnsi="楷体" w:eastAsia="仿宋_GB2312" w:cs="Times New Roman"/>
          <w:sz w:val="28"/>
          <w:szCs w:val="28"/>
          <w:lang w:val="en-US" w:eastAsia="zh-CN"/>
        </w:rPr>
      </w:pPr>
      <w:r>
        <w:rPr>
          <w:rFonts w:hint="eastAsia" w:ascii="仿宋_GB2312" w:hAnsi="楷体" w:eastAsia="仿宋_GB2312" w:cs="Times New Roman"/>
          <w:sz w:val="28"/>
          <w:szCs w:val="28"/>
          <w:lang w:val="en-US" w:eastAsia="zh-CN"/>
        </w:rPr>
        <w:t>近年来，全球金融科技领域的融资持续升温，金融科技产业规模迅速增长，已经成为影响各国经济金融高质量发展的关键。随着金融和科技融合深入，产品和服务迭代的深入，金融科技的发展是未来数字经济的引擎。</w:t>
      </w:r>
    </w:p>
    <w:p>
      <w:pPr>
        <w:spacing w:line="360" w:lineRule="auto"/>
        <w:ind w:left="1" w:firstLine="560" w:firstLineChars="200"/>
        <w:rPr>
          <w:rFonts w:hint="eastAsia" w:ascii="仿宋_GB2312" w:hAnsi="楷体" w:eastAsia="仿宋_GB2312" w:cs="Times New Roman"/>
          <w:sz w:val="28"/>
          <w:szCs w:val="28"/>
          <w:lang w:val="en-US" w:eastAsia="zh-CN"/>
        </w:rPr>
      </w:pPr>
      <w:r>
        <w:rPr>
          <w:rFonts w:hint="eastAsia" w:ascii="仿宋_GB2312" w:hAnsi="楷体" w:eastAsia="仿宋_GB2312" w:cs="Times New Roman"/>
          <w:sz w:val="28"/>
          <w:szCs w:val="28"/>
          <w:lang w:val="en-US" w:eastAsia="zh-CN"/>
        </w:rPr>
        <w:t>北京大学汇丰商学院2022年深圳金融骨干人才金融科技研修班旨在为深圳市培养一批拥有全球视野，系统掌握经济金融学和现代信息科技理论知识，洞悉产业发展趋势，触发金融科技创新思维，具有较强的实践能力和创新精神的金融精英人才。</w:t>
      </w:r>
    </w:p>
    <w:p>
      <w:pPr>
        <w:spacing w:line="360" w:lineRule="auto"/>
        <w:ind w:left="1" w:firstLine="640" w:firstLineChars="200"/>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（二）课程目标</w:t>
      </w:r>
    </w:p>
    <w:p>
      <w:pPr>
        <w:pStyle w:val="2"/>
        <w:numPr>
          <w:ilvl w:val="0"/>
          <w:numId w:val="0"/>
        </w:numPr>
        <w:ind w:leftChars="0"/>
        <w:jc w:val="both"/>
        <w:rPr>
          <w:rFonts w:hint="eastAsia"/>
          <w:lang w:val="en-US" w:eastAsia="zh-CN"/>
        </w:rPr>
      </w:pPr>
      <w:r>
        <w:rPr>
          <w:rFonts w:hint="eastAsia"/>
          <w:lang w:val="en-US" w:eastAsia="zh-CN"/>
        </w:rPr>
        <w:drawing>
          <wp:inline distT="0" distB="0" distL="114300" distR="114300">
            <wp:extent cx="5387975" cy="2181225"/>
            <wp:effectExtent l="0" t="0" r="3175" b="9525"/>
            <wp:docPr id="2" name="图片 2" descr="165594767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5947676751"/>
                    <pic:cNvPicPr>
                      <a:picLocks noChangeAspect="1"/>
                    </pic:cNvPicPr>
                  </pic:nvPicPr>
                  <pic:blipFill>
                    <a:blip r:embed="rId4"/>
                    <a:stretch>
                      <a:fillRect/>
                    </a:stretch>
                  </pic:blipFill>
                  <pic:spPr>
                    <a:xfrm>
                      <a:off x="0" y="0"/>
                      <a:ext cx="5387975" cy="2181225"/>
                    </a:xfrm>
                    <a:prstGeom prst="rect">
                      <a:avLst/>
                    </a:prstGeom>
                  </pic:spPr>
                </pic:pic>
              </a:graphicData>
            </a:graphic>
          </wp:inline>
        </w:drawing>
      </w:r>
    </w:p>
    <w:p>
      <w:pPr>
        <w:spacing w:line="360" w:lineRule="auto"/>
        <w:ind w:firstLine="643" w:firstLineChars="200"/>
        <w:rPr>
          <w:rFonts w:hint="eastAsia" w:ascii="仿宋" w:hAnsi="仿宋" w:eastAsia="仿宋" w:cs="仿宋"/>
          <w:b/>
          <w:bCs/>
          <w:color w:val="333333"/>
          <w:kern w:val="0"/>
          <w:sz w:val="32"/>
          <w:szCs w:val="32"/>
          <w:shd w:val="clear" w:color="auto" w:fill="FFFFFF"/>
        </w:rPr>
      </w:pPr>
    </w:p>
    <w:p>
      <w:pPr>
        <w:spacing w:line="360" w:lineRule="auto"/>
        <w:ind w:left="1" w:firstLine="640" w:firstLineChars="200"/>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（三）课程亮点</w:t>
      </w:r>
    </w:p>
    <w:p>
      <w:pPr>
        <w:spacing w:line="360" w:lineRule="auto"/>
        <w:ind w:left="1" w:firstLine="562" w:firstLineChars="200"/>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百年名校：</w:t>
      </w:r>
      <w:r>
        <w:rPr>
          <w:rFonts w:hint="eastAsia" w:ascii="仿宋_GB2312" w:hAnsi="楷体" w:eastAsia="仿宋_GB2312" w:cs="Times New Roman"/>
          <w:sz w:val="28"/>
          <w:szCs w:val="28"/>
          <w:lang w:val="en-US" w:eastAsia="zh-CN"/>
        </w:rPr>
        <w:t>北京大学学术传承和北大汇丰经济与金融研究为基石；</w:t>
      </w:r>
    </w:p>
    <w:p>
      <w:pPr>
        <w:spacing w:line="360" w:lineRule="auto"/>
        <w:ind w:left="1" w:firstLine="562" w:firstLineChars="200"/>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跨界交流：</w:t>
      </w:r>
      <w:r>
        <w:rPr>
          <w:rFonts w:hint="eastAsia" w:ascii="仿宋_GB2312" w:hAnsi="楷体" w:eastAsia="仿宋_GB2312" w:cs="Times New Roman"/>
          <w:sz w:val="28"/>
          <w:szCs w:val="28"/>
          <w:lang w:val="en-US" w:eastAsia="zh-CN"/>
        </w:rPr>
        <w:t>案例研讨，嘉宾对话，实地走进企业；</w:t>
      </w:r>
    </w:p>
    <w:p>
      <w:pPr>
        <w:spacing w:line="360" w:lineRule="auto"/>
        <w:ind w:left="1" w:firstLine="562" w:firstLineChars="200"/>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最新前沿：</w:t>
      </w:r>
      <w:r>
        <w:rPr>
          <w:rFonts w:hint="eastAsia" w:ascii="仿宋_GB2312" w:hAnsi="楷体" w:eastAsia="仿宋_GB2312" w:cs="Times New Roman"/>
          <w:sz w:val="28"/>
          <w:szCs w:val="28"/>
          <w:lang w:val="en-US" w:eastAsia="zh-CN"/>
        </w:rPr>
        <w:t>新趋势，新政策，新技术，新思维，新解读；</w:t>
      </w:r>
    </w:p>
    <w:p>
      <w:pPr>
        <w:spacing w:line="360" w:lineRule="auto"/>
        <w:ind w:left="1" w:firstLine="562" w:firstLineChars="200"/>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学习平台：</w:t>
      </w:r>
      <w:r>
        <w:rPr>
          <w:rFonts w:hint="eastAsia" w:ascii="仿宋_GB2312" w:hAnsi="楷体" w:eastAsia="仿宋_GB2312" w:cs="Times New Roman"/>
          <w:sz w:val="28"/>
          <w:szCs w:val="28"/>
          <w:lang w:val="en-US" w:eastAsia="zh-CN"/>
        </w:rPr>
        <w:t>校友资源丰富，打造高质量长期学习交流平台。</w:t>
      </w:r>
    </w:p>
    <w:p>
      <w:pPr>
        <w:spacing w:before="240"/>
        <w:ind w:firstLine="640" w:firstLineChars="200"/>
        <w:rPr>
          <w:rFonts w:hint="eastAsia" w:ascii="黑体" w:hAnsi="黑体" w:eastAsia="黑体" w:cs="Times New Roman"/>
          <w:b w:val="0"/>
          <w:bCs w:val="0"/>
          <w:sz w:val="32"/>
          <w:szCs w:val="32"/>
        </w:rPr>
      </w:pPr>
      <w:r>
        <w:rPr>
          <w:rFonts w:hint="eastAsia" w:ascii="黑体" w:hAnsi="黑体" w:eastAsia="黑体" w:cs="Times New Roman"/>
          <w:b w:val="0"/>
          <w:bCs w:val="0"/>
          <w:sz w:val="32"/>
          <w:szCs w:val="32"/>
        </w:rPr>
        <w:t>二、课程设置及师资介绍</w:t>
      </w:r>
    </w:p>
    <w:tbl>
      <w:tblPr>
        <w:tblStyle w:val="8"/>
        <w:tblW w:w="8609" w:type="dxa"/>
        <w:jc w:val="center"/>
        <w:tblLayout w:type="autofit"/>
        <w:tblCellMar>
          <w:top w:w="0" w:type="dxa"/>
          <w:left w:w="108" w:type="dxa"/>
          <w:bottom w:w="0" w:type="dxa"/>
          <w:right w:w="108" w:type="dxa"/>
        </w:tblCellMar>
      </w:tblPr>
      <w:tblGrid>
        <w:gridCol w:w="720"/>
        <w:gridCol w:w="1340"/>
        <w:gridCol w:w="2649"/>
        <w:gridCol w:w="3900"/>
      </w:tblGrid>
      <w:tr>
        <w:tblPrEx>
          <w:tblCellMar>
            <w:top w:w="0" w:type="dxa"/>
            <w:left w:w="108" w:type="dxa"/>
            <w:bottom w:w="0" w:type="dxa"/>
            <w:right w:w="108" w:type="dxa"/>
          </w:tblCellMar>
        </w:tblPrEx>
        <w:trPr>
          <w:trHeight w:val="636" w:hRule="atLeast"/>
          <w:jc w:val="center"/>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序号</w:t>
            </w:r>
          </w:p>
        </w:tc>
        <w:tc>
          <w:tcPr>
            <w:tcW w:w="134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授课形式</w:t>
            </w:r>
          </w:p>
        </w:tc>
        <w:tc>
          <w:tcPr>
            <w:tcW w:w="26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课程名称</w:t>
            </w:r>
          </w:p>
        </w:tc>
        <w:tc>
          <w:tcPr>
            <w:tcW w:w="39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师资介绍</w:t>
            </w:r>
          </w:p>
        </w:tc>
      </w:tr>
      <w:tr>
        <w:tblPrEx>
          <w:tblCellMar>
            <w:top w:w="0" w:type="dxa"/>
            <w:left w:w="108" w:type="dxa"/>
            <w:bottom w:w="0" w:type="dxa"/>
            <w:right w:w="108" w:type="dxa"/>
          </w:tblCellMar>
        </w:tblPrEx>
        <w:trPr>
          <w:trHeight w:val="567"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1</w:t>
            </w:r>
          </w:p>
        </w:tc>
        <w:tc>
          <w:tcPr>
            <w:tcW w:w="1340" w:type="dxa"/>
            <w:vMerge w:val="restart"/>
            <w:tcBorders>
              <w:top w:val="nil"/>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专题授课</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《金融科技的逻辑》</w:t>
            </w:r>
          </w:p>
        </w:tc>
        <w:tc>
          <w:tcPr>
            <w:tcW w:w="39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欧阳良宜 副教授：北京大学汇丰商学院副院长</w:t>
            </w:r>
          </w:p>
        </w:tc>
      </w:tr>
      <w:tr>
        <w:tblPrEx>
          <w:tblCellMar>
            <w:top w:w="0" w:type="dxa"/>
            <w:left w:w="108" w:type="dxa"/>
            <w:bottom w:w="0" w:type="dxa"/>
            <w:right w:w="108" w:type="dxa"/>
          </w:tblCellMar>
        </w:tblPrEx>
        <w:trPr>
          <w:trHeight w:val="567"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2</w:t>
            </w:r>
          </w:p>
        </w:tc>
        <w:tc>
          <w:tcPr>
            <w:tcW w:w="1340" w:type="dxa"/>
            <w:vMerge w:val="continue"/>
            <w:tcBorders>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《区块链与加密货币》</w:t>
            </w:r>
          </w:p>
        </w:tc>
        <w:tc>
          <w:tcPr>
            <w:tcW w:w="39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郑海洋 副教授：北京大学经济学副教授</w:t>
            </w:r>
          </w:p>
        </w:tc>
      </w:tr>
      <w:tr>
        <w:tblPrEx>
          <w:tblCellMar>
            <w:top w:w="0" w:type="dxa"/>
            <w:left w:w="108" w:type="dxa"/>
            <w:bottom w:w="0" w:type="dxa"/>
            <w:right w:w="108" w:type="dxa"/>
          </w:tblCellMar>
        </w:tblPrEx>
        <w:trPr>
          <w:trHeight w:val="567"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3</w:t>
            </w:r>
          </w:p>
        </w:tc>
        <w:tc>
          <w:tcPr>
            <w:tcW w:w="1340"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案例分析</w:t>
            </w:r>
          </w:p>
        </w:tc>
        <w:tc>
          <w:tcPr>
            <w:tcW w:w="26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《区块链技术在金融行业的应用（微众银行）》</w:t>
            </w:r>
          </w:p>
        </w:tc>
        <w:tc>
          <w:tcPr>
            <w:tcW w:w="39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杨强先生：微众银行首席人工智能官</w:t>
            </w:r>
          </w:p>
        </w:tc>
      </w:tr>
      <w:tr>
        <w:tblPrEx>
          <w:tblCellMar>
            <w:top w:w="0" w:type="dxa"/>
            <w:left w:w="108" w:type="dxa"/>
            <w:bottom w:w="0" w:type="dxa"/>
            <w:right w:w="108" w:type="dxa"/>
          </w:tblCellMar>
        </w:tblPrEx>
        <w:trPr>
          <w:trHeight w:val="567"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340" w:type="dxa"/>
            <w:vMerge w:val="restart"/>
            <w:tcBorders>
              <w:top w:val="nil"/>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企业走访+嘉宾分享</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《联易融供应链金融探索》</w:t>
            </w:r>
          </w:p>
        </w:tc>
        <w:tc>
          <w:tcPr>
            <w:tcW w:w="39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联易融：供应链金融科技服务平台，首家登陆资本市场的供应链金融科技SaaS企业。</w:t>
            </w:r>
          </w:p>
        </w:tc>
      </w:tr>
      <w:tr>
        <w:tblPrEx>
          <w:tblCellMar>
            <w:top w:w="0" w:type="dxa"/>
            <w:left w:w="108" w:type="dxa"/>
            <w:bottom w:w="0" w:type="dxa"/>
            <w:right w:w="108" w:type="dxa"/>
          </w:tblCellMar>
        </w:tblPrEx>
        <w:trPr>
          <w:trHeight w:val="567"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5</w:t>
            </w:r>
          </w:p>
        </w:tc>
        <w:tc>
          <w:tcPr>
            <w:tcW w:w="1340"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《平安集团金融科技创新实践》</w:t>
            </w:r>
          </w:p>
        </w:tc>
        <w:tc>
          <w:tcPr>
            <w:tcW w:w="3900" w:type="dxa"/>
            <w:tcBorders>
              <w:top w:val="nil"/>
              <w:left w:val="nil"/>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肖京博士：平安集团首席科学家，平安科技大数据总经理，高级专家。世界顶尖的算法科学家之一，引进专家之一，曾服务于微软等多家国际知名公司，担任大数据算法首席科学家等重要职位。</w:t>
            </w:r>
          </w:p>
        </w:tc>
      </w:tr>
      <w:tr>
        <w:tblPrEx>
          <w:tblCellMar>
            <w:top w:w="0" w:type="dxa"/>
            <w:left w:w="108" w:type="dxa"/>
            <w:bottom w:w="0" w:type="dxa"/>
            <w:right w:w="108" w:type="dxa"/>
          </w:tblCellMar>
        </w:tblPrEx>
        <w:trPr>
          <w:trHeight w:val="567"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6</w:t>
            </w:r>
          </w:p>
        </w:tc>
        <w:tc>
          <w:tcPr>
            <w:tcW w:w="1340"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《腾讯云--金融行业数字化转型战略与实践》</w:t>
            </w:r>
          </w:p>
        </w:tc>
        <w:tc>
          <w:tcPr>
            <w:tcW w:w="39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郭仁声 先生:腾讯云副总裁,金融云负责人</w:t>
            </w:r>
          </w:p>
        </w:tc>
      </w:tr>
      <w:tr>
        <w:tblPrEx>
          <w:tblCellMar>
            <w:top w:w="0" w:type="dxa"/>
            <w:left w:w="108" w:type="dxa"/>
            <w:bottom w:w="0" w:type="dxa"/>
            <w:right w:w="108" w:type="dxa"/>
          </w:tblCellMar>
        </w:tblPrEx>
        <w:trPr>
          <w:trHeight w:val="567" w:hRule="atLeast"/>
          <w:jc w:val="center"/>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7</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嘉宾分享</w:t>
            </w:r>
          </w:p>
        </w:tc>
        <w:tc>
          <w:tcPr>
            <w:tcW w:w="26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《监管科技——人工智能与区块链应用之大道》</w:t>
            </w:r>
          </w:p>
        </w:tc>
        <w:tc>
          <w:tcPr>
            <w:tcW w:w="39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杜宁：现任第四范式合伙人、执行副总裁，中国互联网金融协会金融科技专委会副主任委员</w:t>
            </w:r>
          </w:p>
        </w:tc>
      </w:tr>
      <w:tr>
        <w:tblPrEx>
          <w:tblCellMar>
            <w:top w:w="0" w:type="dxa"/>
            <w:left w:w="108" w:type="dxa"/>
            <w:bottom w:w="0" w:type="dxa"/>
            <w:right w:w="108" w:type="dxa"/>
          </w:tblCellMar>
        </w:tblPrEx>
        <w:trPr>
          <w:trHeight w:val="319" w:hRule="atLeast"/>
          <w:jc w:val="center"/>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8</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嘉宾分享</w:t>
            </w:r>
          </w:p>
        </w:tc>
        <w:tc>
          <w:tcPr>
            <w:tcW w:w="26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《硅谷区块链和人工智能商业运营新实践》</w:t>
            </w:r>
          </w:p>
        </w:tc>
        <w:tc>
          <w:tcPr>
            <w:tcW w:w="39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葛东亮博士：美国硅谷Apostle创始人CEO，南方科技大学生物医学工程创新中心教授。</w:t>
            </w:r>
          </w:p>
        </w:tc>
      </w:tr>
    </w:tbl>
    <w:p>
      <w:pPr>
        <w:spacing w:line="36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备注：</w:t>
      </w:r>
      <w:r>
        <w:rPr>
          <w:rFonts w:hint="eastAsia" w:ascii="仿宋" w:hAnsi="仿宋" w:eastAsia="仿宋" w:cs="仿宋"/>
          <w:color w:val="auto"/>
          <w:sz w:val="28"/>
          <w:szCs w:val="28"/>
          <w:lang w:eastAsia="zh-CN"/>
        </w:rPr>
        <w:t>实际课程安排根据嘉宾及企业时间调整，北京大学汇丰商学院保留调整的权利。</w:t>
      </w:r>
    </w:p>
    <w:p>
      <w:pPr>
        <w:spacing w:before="240"/>
        <w:ind w:firstLine="640" w:firstLineChars="200"/>
        <w:rPr>
          <w:rFonts w:hint="eastAsia" w:ascii="黑体" w:hAnsi="黑体" w:eastAsia="黑体" w:cs="Times New Roman"/>
          <w:b w:val="0"/>
          <w:bCs w:val="0"/>
          <w:sz w:val="32"/>
          <w:szCs w:val="32"/>
        </w:rPr>
      </w:pPr>
      <w:r>
        <w:rPr>
          <w:rFonts w:hint="eastAsia" w:ascii="黑体" w:hAnsi="黑体" w:eastAsia="黑体" w:cs="Times New Roman"/>
          <w:b w:val="0"/>
          <w:bCs w:val="0"/>
          <w:sz w:val="32"/>
          <w:szCs w:val="32"/>
        </w:rPr>
        <w:t>三、课程学时及时间安排</w:t>
      </w:r>
    </w:p>
    <w:tbl>
      <w:tblPr>
        <w:tblStyle w:val="8"/>
        <w:tblW w:w="8353" w:type="dxa"/>
        <w:jc w:val="center"/>
        <w:tblLayout w:type="autofit"/>
        <w:tblCellMar>
          <w:top w:w="0" w:type="dxa"/>
          <w:left w:w="108" w:type="dxa"/>
          <w:bottom w:w="0" w:type="dxa"/>
          <w:right w:w="108" w:type="dxa"/>
        </w:tblCellMar>
      </w:tblPr>
      <w:tblGrid>
        <w:gridCol w:w="846"/>
        <w:gridCol w:w="3223"/>
        <w:gridCol w:w="933"/>
        <w:gridCol w:w="1617"/>
        <w:gridCol w:w="1734"/>
      </w:tblGrid>
      <w:tr>
        <w:tblPrEx>
          <w:tblCellMar>
            <w:top w:w="0" w:type="dxa"/>
            <w:left w:w="108" w:type="dxa"/>
            <w:bottom w:w="0" w:type="dxa"/>
            <w:right w:w="108" w:type="dxa"/>
          </w:tblCellMar>
        </w:tblPrEx>
        <w:trPr>
          <w:trHeight w:val="561"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序号</w:t>
            </w:r>
          </w:p>
        </w:tc>
        <w:tc>
          <w:tcPr>
            <w:tcW w:w="322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课程名称</w:t>
            </w:r>
          </w:p>
        </w:tc>
        <w:tc>
          <w:tcPr>
            <w:tcW w:w="93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课时</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时间安排</w:t>
            </w:r>
          </w:p>
        </w:tc>
        <w:tc>
          <w:tcPr>
            <w:tcW w:w="173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上课地点</w:t>
            </w: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1</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《金融科技的逻辑》</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8</w:t>
            </w:r>
          </w:p>
        </w:tc>
        <w:tc>
          <w:tcPr>
            <w:tcW w:w="1617" w:type="dxa"/>
            <w:vMerge w:val="restart"/>
            <w:tcBorders>
              <w:top w:val="nil"/>
              <w:left w:val="nil"/>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2022年8月中旬-10月中旬</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c>
          <w:tcPr>
            <w:tcW w:w="1734" w:type="dxa"/>
            <w:vMerge w:val="restart"/>
            <w:tcBorders>
              <w:top w:val="nil"/>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北京大学汇丰商学院</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（南山西丽大学城北大园区北大汇丰商学院）</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2</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《腾讯云--金融行业数字化转型战略与实践》</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3</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《硅谷区块链和人工智能商业运营新实践》</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《区块链与加密货币》</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5</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《区块链技术在金融行业的应用（微众银行）》</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6</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《联易融供应链金融探索》</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7</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《平安集团金融科技创新实践》</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8</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《监管科技——人工智能与区块链应用之大道》</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合计</w:t>
            </w:r>
          </w:p>
        </w:tc>
        <w:tc>
          <w:tcPr>
            <w:tcW w:w="7507" w:type="dxa"/>
            <w:gridSpan w:val="4"/>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36</w:t>
            </w:r>
          </w:p>
        </w:tc>
      </w:tr>
    </w:tbl>
    <w:p>
      <w:pPr>
        <w:spacing w:line="360" w:lineRule="auto"/>
        <w:ind w:left="1" w:firstLine="560" w:firstLineChars="200"/>
        <w:rPr>
          <w:rFonts w:hint="eastAsia"/>
        </w:rPr>
      </w:pPr>
      <w:r>
        <w:rPr>
          <w:rFonts w:hint="eastAsia" w:ascii="仿宋" w:hAnsi="仿宋" w:eastAsia="仿宋" w:cs="仿宋"/>
          <w:color w:val="auto"/>
          <w:sz w:val="28"/>
          <w:szCs w:val="28"/>
        </w:rPr>
        <w:t>备注：</w:t>
      </w:r>
      <w:r>
        <w:rPr>
          <w:rFonts w:hint="eastAsia" w:ascii="仿宋" w:hAnsi="仿宋" w:eastAsia="仿宋" w:cs="仿宋"/>
          <w:color w:val="auto"/>
          <w:sz w:val="28"/>
          <w:szCs w:val="28"/>
          <w:lang w:eastAsia="zh-CN"/>
        </w:rPr>
        <w:t>上课时间：2022年</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lang w:eastAsia="zh-CN"/>
        </w:rPr>
        <w:t>月中旬-</w:t>
      </w: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lang w:eastAsia="zh-CN"/>
        </w:rPr>
        <w:t>月中旬。</w:t>
      </w:r>
      <w:r>
        <w:rPr>
          <w:rFonts w:hint="eastAsia" w:ascii="仿宋" w:hAnsi="仿宋" w:eastAsia="仿宋" w:cs="仿宋"/>
          <w:color w:val="auto"/>
          <w:sz w:val="28"/>
          <w:szCs w:val="28"/>
        </w:rPr>
        <w:t>学制：2个月，每</w:t>
      </w:r>
      <w:r>
        <w:rPr>
          <w:rFonts w:hint="eastAsia" w:ascii="仿宋" w:hAnsi="仿宋" w:eastAsia="仿宋" w:cs="仿宋"/>
          <w:color w:val="auto"/>
          <w:sz w:val="28"/>
          <w:szCs w:val="28"/>
          <w:lang w:eastAsia="zh-CN"/>
        </w:rPr>
        <w:t>月</w:t>
      </w:r>
      <w:r>
        <w:rPr>
          <w:rFonts w:hint="eastAsia" w:ascii="仿宋" w:hAnsi="仿宋" w:eastAsia="仿宋" w:cs="仿宋"/>
          <w:color w:val="auto"/>
          <w:sz w:val="28"/>
          <w:szCs w:val="28"/>
        </w:rPr>
        <w:t>安排一次，每次2-3天（周五至周日）</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before="313" w:beforeLines="100" w:line="560" w:lineRule="exact"/>
        <w:jc w:val="center"/>
        <w:textAlignment w:val="auto"/>
        <w:rPr>
          <w:rFonts w:hint="eastAsia" w:ascii="黑体" w:hAnsi="黑体" w:eastAsia="黑体" w:cs="Times New Roman"/>
          <w:b/>
          <w:bCs/>
          <w:sz w:val="36"/>
          <w:szCs w:val="36"/>
        </w:rPr>
      </w:pPr>
      <w:r>
        <w:rPr>
          <w:rFonts w:hint="eastAsia" w:ascii="黑体" w:hAnsi="黑体" w:eastAsia="黑体" w:cs="Times New Roman"/>
          <w:b/>
          <w:bCs/>
          <w:sz w:val="36"/>
          <w:szCs w:val="36"/>
        </w:rPr>
        <w:t>第</w:t>
      </w:r>
      <w:r>
        <w:rPr>
          <w:rFonts w:hint="eastAsia" w:ascii="黑体" w:hAnsi="黑体" w:eastAsia="黑体" w:cs="Times New Roman"/>
          <w:b/>
          <w:bCs/>
          <w:sz w:val="36"/>
          <w:szCs w:val="36"/>
          <w:lang w:eastAsia="zh-CN"/>
        </w:rPr>
        <w:t>二</w:t>
      </w:r>
      <w:r>
        <w:rPr>
          <w:rFonts w:hint="eastAsia" w:ascii="黑体" w:hAnsi="黑体" w:eastAsia="黑体" w:cs="Times New Roman"/>
          <w:b/>
          <w:bCs/>
          <w:sz w:val="36"/>
          <w:szCs w:val="36"/>
        </w:rPr>
        <w:t xml:space="preserve">部分 </w:t>
      </w:r>
      <w:r>
        <w:rPr>
          <w:rFonts w:hint="eastAsia" w:ascii="黑体" w:hAnsi="黑体" w:eastAsia="黑体" w:cs="Times New Roman"/>
          <w:b/>
          <w:bCs/>
          <w:sz w:val="36"/>
          <w:szCs w:val="36"/>
          <w:lang w:eastAsia="zh-CN"/>
        </w:rPr>
        <w:t>大湾区合作与跨境金融研修班</w:t>
      </w:r>
      <w:r>
        <w:rPr>
          <w:rFonts w:hint="eastAsia" w:ascii="黑体" w:hAnsi="黑体" w:eastAsia="黑体" w:cs="Times New Roman"/>
          <w:b/>
          <w:bCs/>
          <w:sz w:val="36"/>
          <w:szCs w:val="36"/>
        </w:rPr>
        <w:t>（项目</w:t>
      </w:r>
      <w:r>
        <w:rPr>
          <w:rFonts w:hint="eastAsia" w:ascii="黑体" w:hAnsi="黑体" w:eastAsia="黑体" w:cs="Times New Roman"/>
          <w:b/>
          <w:bCs/>
          <w:sz w:val="36"/>
          <w:szCs w:val="36"/>
          <w:lang w:eastAsia="zh-CN"/>
        </w:rPr>
        <w:t>二</w:t>
      </w:r>
      <w:r>
        <w:rPr>
          <w:rFonts w:hint="eastAsia" w:ascii="黑体" w:hAnsi="黑体" w:eastAsia="黑体" w:cs="Times New Roman"/>
          <w:b/>
          <w:bCs/>
          <w:sz w:val="36"/>
          <w:szCs w:val="36"/>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Times New Roman"/>
          <w:b w:val="0"/>
          <w:bCs w:val="0"/>
          <w:sz w:val="32"/>
          <w:szCs w:val="32"/>
        </w:rPr>
      </w:pPr>
      <w:r>
        <w:rPr>
          <w:rFonts w:hint="eastAsia" w:ascii="黑体" w:hAnsi="黑体" w:eastAsia="黑体" w:cs="Times New Roman"/>
          <w:b w:val="0"/>
          <w:bCs w:val="0"/>
          <w:sz w:val="32"/>
          <w:szCs w:val="32"/>
        </w:rPr>
        <w:t>一、项目亮点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333333"/>
          <w:kern w:val="0"/>
          <w:sz w:val="32"/>
          <w:szCs w:val="32"/>
          <w:shd w:val="clear" w:color="auto" w:fill="FFFFFF"/>
        </w:rPr>
      </w:pPr>
      <w:r>
        <w:rPr>
          <w:rFonts w:hint="eastAsia" w:ascii="楷体_GB2312" w:hAnsi="楷体_GB2312" w:eastAsia="楷体_GB2312" w:cs="楷体_GB2312"/>
          <w:b w:val="0"/>
          <w:bCs w:val="0"/>
          <w:color w:val="333333"/>
          <w:kern w:val="0"/>
          <w:sz w:val="32"/>
          <w:szCs w:val="32"/>
          <w:shd w:val="clear" w:color="auto" w:fill="FFFFFF"/>
          <w:lang w:eastAsia="zh-CN"/>
        </w:rPr>
        <w:t>（</w:t>
      </w:r>
      <w:r>
        <w:rPr>
          <w:rFonts w:hint="eastAsia" w:ascii="楷体_GB2312" w:hAnsi="楷体_GB2312" w:eastAsia="楷体_GB2312" w:cs="楷体_GB2312"/>
          <w:b w:val="0"/>
          <w:bCs w:val="0"/>
          <w:color w:val="333333"/>
          <w:kern w:val="0"/>
          <w:sz w:val="32"/>
          <w:szCs w:val="32"/>
          <w:shd w:val="clear" w:color="auto" w:fill="FFFFFF"/>
          <w:lang w:val="en-US" w:eastAsia="zh-CN"/>
        </w:rPr>
        <w:t>一</w:t>
      </w:r>
      <w:r>
        <w:rPr>
          <w:rFonts w:hint="eastAsia" w:ascii="楷体_GB2312" w:hAnsi="楷体_GB2312" w:eastAsia="楷体_GB2312" w:cs="楷体_GB2312"/>
          <w:b w:val="0"/>
          <w:bCs w:val="0"/>
          <w:color w:val="333333"/>
          <w:kern w:val="0"/>
          <w:sz w:val="32"/>
          <w:szCs w:val="32"/>
          <w:shd w:val="clear" w:color="auto" w:fill="FFFFFF"/>
          <w:lang w:eastAsia="zh-CN"/>
        </w:rPr>
        <w:t>）</w:t>
      </w:r>
      <w:r>
        <w:rPr>
          <w:rFonts w:hint="eastAsia" w:ascii="楷体_GB2312" w:hAnsi="楷体_GB2312" w:eastAsia="楷体_GB2312" w:cs="楷体_GB2312"/>
          <w:b w:val="0"/>
          <w:bCs w:val="0"/>
          <w:color w:val="333333"/>
          <w:kern w:val="0"/>
          <w:sz w:val="32"/>
          <w:szCs w:val="32"/>
          <w:shd w:val="clear" w:color="auto" w:fill="FFFFFF"/>
        </w:rPr>
        <w:t>课程概述</w:t>
      </w:r>
    </w:p>
    <w:p>
      <w:pPr>
        <w:spacing w:line="360" w:lineRule="auto"/>
        <w:ind w:firstLine="640" w:firstLineChars="200"/>
        <w:rPr>
          <w:rFonts w:hint="eastAsia" w:ascii="仿宋" w:hAnsi="仿宋" w:eastAsia="仿宋" w:cs="仿宋"/>
          <w:color w:val="333333"/>
          <w:kern w:val="0"/>
          <w:sz w:val="32"/>
          <w:szCs w:val="32"/>
          <w:shd w:val="clear" w:color="auto" w:fill="FFFFFF"/>
          <w:lang w:val="en-US" w:eastAsia="zh-CN"/>
        </w:rPr>
      </w:pPr>
      <w:r>
        <w:rPr>
          <w:rFonts w:hint="eastAsia" w:ascii="仿宋" w:hAnsi="仿宋" w:eastAsia="仿宋" w:cs="仿宋"/>
          <w:color w:val="333333"/>
          <w:kern w:val="0"/>
          <w:sz w:val="32"/>
          <w:szCs w:val="32"/>
          <w:shd w:val="clear" w:color="auto" w:fill="FFFFFF"/>
          <w:lang w:val="en-US" w:eastAsia="zh-CN"/>
        </w:rPr>
        <w:t>粤港澳大湾区自发展之初就承担着建设国际金融枢纽的任务，近年来，大湾区不断扩大金融业对外开放、发展现代金融产业，跨境合作明显加强。</w:t>
      </w:r>
    </w:p>
    <w:p>
      <w:pPr>
        <w:spacing w:line="360" w:lineRule="auto"/>
        <w:ind w:firstLine="640" w:firstLineChars="200"/>
        <w:rPr>
          <w:rFonts w:hint="eastAsia" w:ascii="仿宋" w:hAnsi="仿宋" w:eastAsia="仿宋" w:cs="仿宋"/>
          <w:color w:val="333333"/>
          <w:kern w:val="0"/>
          <w:sz w:val="32"/>
          <w:szCs w:val="32"/>
          <w:shd w:val="clear" w:color="auto" w:fill="FFFFFF"/>
          <w:lang w:val="en-US" w:eastAsia="zh-CN"/>
        </w:rPr>
      </w:pPr>
      <w:r>
        <w:rPr>
          <w:rFonts w:hint="eastAsia" w:ascii="仿宋" w:hAnsi="仿宋" w:eastAsia="仿宋" w:cs="仿宋"/>
          <w:color w:val="333333"/>
          <w:kern w:val="0"/>
          <w:sz w:val="32"/>
          <w:szCs w:val="32"/>
          <w:shd w:val="clear" w:color="auto" w:fill="FFFFFF"/>
          <w:lang w:val="en-US" w:eastAsia="zh-CN"/>
        </w:rPr>
        <w:t>北京大学汇丰商学院2022年深圳市金融骨干人才大湾区合作与跨境金融研修班聚焦跨境金融、绿色金融。旨在为深圳市培养一批拥有国际化视野、敏锐商业洞察、管理思维创新的金融骨干人才与企业管理者，助推大湾区优秀人才更好地把握粤港澳大湾区金融集聚的空间格局和科创与金融机遇，引领社会资本向绿色低碳可持续的领域布局，实现绿色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333333"/>
          <w:kern w:val="0"/>
          <w:sz w:val="32"/>
          <w:szCs w:val="32"/>
          <w:shd w:val="clear" w:color="auto" w:fill="FFFFFF"/>
        </w:rPr>
      </w:pPr>
      <w:r>
        <w:rPr>
          <w:rFonts w:hint="eastAsia" w:ascii="楷体_GB2312" w:hAnsi="楷体_GB2312" w:eastAsia="楷体_GB2312" w:cs="楷体_GB2312"/>
          <w:b w:val="0"/>
          <w:bCs w:val="0"/>
          <w:color w:val="333333"/>
          <w:kern w:val="0"/>
          <w:sz w:val="32"/>
          <w:szCs w:val="32"/>
          <w:shd w:val="clear" w:color="auto" w:fill="FFFFFF"/>
          <w:lang w:eastAsia="zh-CN"/>
        </w:rPr>
        <w:t>（</w:t>
      </w:r>
      <w:r>
        <w:rPr>
          <w:rFonts w:hint="eastAsia" w:ascii="楷体_GB2312" w:hAnsi="楷体_GB2312" w:eastAsia="楷体_GB2312" w:cs="楷体_GB2312"/>
          <w:b w:val="0"/>
          <w:bCs w:val="0"/>
          <w:color w:val="333333"/>
          <w:kern w:val="0"/>
          <w:sz w:val="32"/>
          <w:szCs w:val="32"/>
          <w:shd w:val="clear" w:color="auto" w:fill="FFFFFF"/>
          <w:lang w:val="en-US" w:eastAsia="zh-CN"/>
        </w:rPr>
        <w:t>二</w:t>
      </w:r>
      <w:r>
        <w:rPr>
          <w:rFonts w:hint="eastAsia" w:ascii="楷体_GB2312" w:hAnsi="楷体_GB2312" w:eastAsia="楷体_GB2312" w:cs="楷体_GB2312"/>
          <w:b w:val="0"/>
          <w:bCs w:val="0"/>
          <w:color w:val="333333"/>
          <w:kern w:val="0"/>
          <w:sz w:val="32"/>
          <w:szCs w:val="32"/>
          <w:shd w:val="clear" w:color="auto" w:fill="FFFFFF"/>
          <w:lang w:eastAsia="zh-CN"/>
        </w:rPr>
        <w:t>）</w:t>
      </w:r>
      <w:r>
        <w:rPr>
          <w:rFonts w:hint="eastAsia" w:ascii="楷体_GB2312" w:hAnsi="楷体_GB2312" w:eastAsia="楷体_GB2312" w:cs="楷体_GB2312"/>
          <w:b w:val="0"/>
          <w:bCs w:val="0"/>
          <w:color w:val="333333"/>
          <w:kern w:val="0"/>
          <w:sz w:val="32"/>
          <w:szCs w:val="32"/>
          <w:shd w:val="clear" w:color="auto" w:fill="FFFFFF"/>
        </w:rPr>
        <w:t>课程目标</w:t>
      </w:r>
    </w:p>
    <w:p>
      <w:pPr>
        <w:pStyle w:val="2"/>
        <w:numPr>
          <w:ilvl w:val="0"/>
          <w:numId w:val="0"/>
        </w:numPr>
        <w:ind w:leftChars="0"/>
        <w:jc w:val="right"/>
        <w:rPr>
          <w:rFonts w:hint="eastAsia" w:eastAsia="幼圆"/>
          <w:lang w:eastAsia="zh-CN"/>
        </w:rPr>
      </w:pPr>
      <w:r>
        <w:rPr>
          <w:rFonts w:hint="eastAsia" w:eastAsia="幼圆"/>
          <w:lang w:eastAsia="zh-CN"/>
        </w:rPr>
        <w:drawing>
          <wp:inline distT="0" distB="0" distL="114300" distR="114300">
            <wp:extent cx="5088890" cy="2748915"/>
            <wp:effectExtent l="0" t="0" r="16510" b="13335"/>
            <wp:docPr id="1" name="图片 1" descr="165594757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5947570544"/>
                    <pic:cNvPicPr>
                      <a:picLocks noChangeAspect="1"/>
                    </pic:cNvPicPr>
                  </pic:nvPicPr>
                  <pic:blipFill>
                    <a:blip r:embed="rId5"/>
                    <a:stretch>
                      <a:fillRect/>
                    </a:stretch>
                  </pic:blipFill>
                  <pic:spPr>
                    <a:xfrm>
                      <a:off x="0" y="0"/>
                      <a:ext cx="5088890" cy="2748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333333"/>
          <w:kern w:val="0"/>
          <w:sz w:val="32"/>
          <w:szCs w:val="32"/>
          <w:shd w:val="clear" w:color="auto" w:fill="FFFFFF"/>
          <w:lang w:eastAsia="zh-CN"/>
        </w:rPr>
      </w:pPr>
      <w:r>
        <w:rPr>
          <w:rFonts w:hint="eastAsia" w:ascii="楷体_GB2312" w:hAnsi="楷体_GB2312" w:eastAsia="楷体_GB2312" w:cs="楷体_GB2312"/>
          <w:b w:val="0"/>
          <w:bCs w:val="0"/>
          <w:color w:val="333333"/>
          <w:kern w:val="0"/>
          <w:sz w:val="32"/>
          <w:szCs w:val="32"/>
          <w:shd w:val="clear" w:color="auto" w:fill="FFFFFF"/>
          <w:lang w:eastAsia="zh-CN"/>
        </w:rPr>
        <w:t>（</w:t>
      </w:r>
      <w:r>
        <w:rPr>
          <w:rFonts w:hint="eastAsia" w:ascii="楷体_GB2312" w:hAnsi="楷体_GB2312" w:eastAsia="楷体_GB2312" w:cs="楷体_GB2312"/>
          <w:b w:val="0"/>
          <w:bCs w:val="0"/>
          <w:color w:val="333333"/>
          <w:kern w:val="0"/>
          <w:sz w:val="32"/>
          <w:szCs w:val="32"/>
          <w:shd w:val="clear" w:color="auto" w:fill="FFFFFF"/>
          <w:lang w:val="en-US" w:eastAsia="zh-CN"/>
        </w:rPr>
        <w:t>三</w:t>
      </w:r>
      <w:r>
        <w:rPr>
          <w:rFonts w:hint="eastAsia" w:ascii="楷体_GB2312" w:hAnsi="楷体_GB2312" w:eastAsia="楷体_GB2312" w:cs="楷体_GB2312"/>
          <w:b w:val="0"/>
          <w:bCs w:val="0"/>
          <w:color w:val="333333"/>
          <w:kern w:val="0"/>
          <w:sz w:val="32"/>
          <w:szCs w:val="32"/>
          <w:shd w:val="clear" w:color="auto" w:fill="FFFFFF"/>
          <w:lang w:eastAsia="zh-CN"/>
        </w:rPr>
        <w:t>）课程亮点</w:t>
      </w:r>
    </w:p>
    <w:p>
      <w:pPr>
        <w:spacing w:line="360" w:lineRule="auto"/>
        <w:ind w:left="1" w:firstLine="562" w:firstLineChars="200"/>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百年名校：</w:t>
      </w:r>
      <w:r>
        <w:rPr>
          <w:rFonts w:hint="eastAsia" w:ascii="仿宋_GB2312" w:hAnsi="楷体" w:eastAsia="仿宋_GB2312" w:cs="Times New Roman"/>
          <w:sz w:val="28"/>
          <w:szCs w:val="28"/>
          <w:lang w:val="en-US" w:eastAsia="zh-CN"/>
        </w:rPr>
        <w:t>北京大学学术传承和北大汇丰经济与金融研究为基石；</w:t>
      </w:r>
    </w:p>
    <w:p>
      <w:pPr>
        <w:spacing w:line="360" w:lineRule="auto"/>
        <w:ind w:left="1" w:firstLine="562" w:firstLineChars="200"/>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跨界交流：</w:t>
      </w:r>
      <w:r>
        <w:rPr>
          <w:rFonts w:hint="eastAsia" w:ascii="仿宋_GB2312" w:hAnsi="楷体" w:eastAsia="仿宋_GB2312" w:cs="Times New Roman"/>
          <w:sz w:val="28"/>
          <w:szCs w:val="28"/>
          <w:lang w:val="en-US" w:eastAsia="zh-CN"/>
        </w:rPr>
        <w:t>案例研讨，嘉宾对话，实地走进企业；</w:t>
      </w:r>
    </w:p>
    <w:p>
      <w:pPr>
        <w:spacing w:line="360" w:lineRule="auto"/>
        <w:ind w:left="1" w:firstLine="562" w:firstLineChars="200"/>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最新前沿：</w:t>
      </w:r>
      <w:r>
        <w:rPr>
          <w:rFonts w:hint="eastAsia" w:ascii="仿宋_GB2312" w:hAnsi="楷体" w:eastAsia="仿宋_GB2312" w:cs="Times New Roman"/>
          <w:sz w:val="28"/>
          <w:szCs w:val="28"/>
          <w:lang w:val="en-US" w:eastAsia="zh-CN"/>
        </w:rPr>
        <w:t>新趋势，新政策，新技术，新思维，新解读；</w:t>
      </w:r>
    </w:p>
    <w:p>
      <w:pPr>
        <w:spacing w:line="360" w:lineRule="auto"/>
        <w:ind w:left="1" w:firstLine="562" w:firstLineChars="200"/>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学习平台：</w:t>
      </w:r>
      <w:r>
        <w:rPr>
          <w:rFonts w:hint="eastAsia" w:ascii="仿宋_GB2312" w:hAnsi="楷体" w:eastAsia="仿宋_GB2312" w:cs="Times New Roman"/>
          <w:sz w:val="28"/>
          <w:szCs w:val="28"/>
          <w:lang w:val="en-US" w:eastAsia="zh-CN"/>
        </w:rPr>
        <w:t>校友资源丰富，打造高质量长期学习交流平台。</w:t>
      </w:r>
    </w:p>
    <w:p>
      <w:pPr>
        <w:rPr>
          <w:rFonts w:hint="eastAsia" w:ascii="仿宋" w:hAnsi="仿宋" w:eastAsia="仿宋" w:cs="仿宋"/>
          <w:b/>
          <w:bCs/>
          <w:sz w:val="32"/>
          <w:szCs w:val="36"/>
        </w:rPr>
      </w:pPr>
    </w:p>
    <w:p>
      <w:pPr>
        <w:spacing w:before="240"/>
        <w:ind w:firstLine="640" w:firstLineChars="200"/>
        <w:rPr>
          <w:rFonts w:hint="eastAsia" w:ascii="黑体" w:hAnsi="黑体" w:eastAsia="黑体" w:cs="Times New Roman"/>
          <w:b/>
          <w:bCs/>
          <w:sz w:val="32"/>
          <w:szCs w:val="32"/>
        </w:rPr>
      </w:pPr>
      <w:r>
        <w:rPr>
          <w:rFonts w:hint="eastAsia" w:ascii="黑体" w:hAnsi="黑体" w:eastAsia="黑体" w:cs="Times New Roman"/>
          <w:b w:val="0"/>
          <w:bCs w:val="0"/>
          <w:sz w:val="32"/>
          <w:szCs w:val="32"/>
        </w:rPr>
        <w:t>二、课程设置及师资介绍</w:t>
      </w:r>
    </w:p>
    <w:tbl>
      <w:tblPr>
        <w:tblStyle w:val="8"/>
        <w:tblW w:w="8500" w:type="dxa"/>
        <w:tblInd w:w="103" w:type="dxa"/>
        <w:tblLayout w:type="autofit"/>
        <w:tblCellMar>
          <w:top w:w="0" w:type="dxa"/>
          <w:left w:w="108" w:type="dxa"/>
          <w:bottom w:w="0" w:type="dxa"/>
          <w:right w:w="108" w:type="dxa"/>
        </w:tblCellMar>
      </w:tblPr>
      <w:tblGrid>
        <w:gridCol w:w="866"/>
        <w:gridCol w:w="1467"/>
        <w:gridCol w:w="2300"/>
        <w:gridCol w:w="3867"/>
      </w:tblGrid>
      <w:tr>
        <w:tblPrEx>
          <w:tblCellMar>
            <w:top w:w="0" w:type="dxa"/>
            <w:left w:w="108" w:type="dxa"/>
            <w:bottom w:w="0" w:type="dxa"/>
            <w:right w:w="108" w:type="dxa"/>
          </w:tblCellMar>
        </w:tblPrEx>
        <w:trPr>
          <w:trHeight w:val="636" w:hRule="atLeast"/>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序号</w:t>
            </w:r>
          </w:p>
        </w:tc>
        <w:tc>
          <w:tcPr>
            <w:tcW w:w="146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授课形式</w:t>
            </w:r>
          </w:p>
        </w:tc>
        <w:tc>
          <w:tcPr>
            <w:tcW w:w="23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课程名称</w:t>
            </w:r>
          </w:p>
        </w:tc>
        <w:tc>
          <w:tcPr>
            <w:tcW w:w="386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师资介绍</w:t>
            </w:r>
          </w:p>
        </w:tc>
      </w:tr>
      <w:tr>
        <w:tblPrEx>
          <w:tblCellMar>
            <w:top w:w="0" w:type="dxa"/>
            <w:left w:w="108" w:type="dxa"/>
            <w:bottom w:w="0"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1</w:t>
            </w:r>
          </w:p>
        </w:tc>
        <w:tc>
          <w:tcPr>
            <w:tcW w:w="1467" w:type="dxa"/>
            <w:vMerge w:val="restart"/>
            <w:tcBorders>
              <w:top w:val="nil"/>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专题授课</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23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《从产业和区域经济角度推动大湾区融合》</w:t>
            </w:r>
          </w:p>
        </w:tc>
        <w:tc>
          <w:tcPr>
            <w:tcW w:w="386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任颋教授：北京大学副</w:t>
            </w:r>
            <w:r>
              <w:rPr>
                <w:rFonts w:hint="default" w:ascii="仿宋_GB2312" w:hAnsi="等线" w:eastAsia="仿宋_GB2312" w:cs="宋体"/>
                <w:color w:val="000000"/>
                <w:kern w:val="0"/>
                <w:sz w:val="24"/>
                <w:szCs w:val="24"/>
                <w:lang w:val="en-US" w:eastAsia="zh-CN"/>
              </w:rPr>
              <w:t>教授、博士研究生导师、北京大学汇丰商学院副院长、企业发展研究所所长</w:t>
            </w:r>
            <w:r>
              <w:rPr>
                <w:rFonts w:hint="eastAsia" w:ascii="仿宋_GB2312" w:hAnsi="等线" w:eastAsia="仿宋_GB2312" w:cs="宋体"/>
                <w:color w:val="000000"/>
                <w:kern w:val="0"/>
                <w:sz w:val="24"/>
                <w:szCs w:val="24"/>
                <w:lang w:val="en-US" w:eastAsia="zh-CN"/>
              </w:rPr>
              <w:t>。</w:t>
            </w:r>
          </w:p>
        </w:tc>
      </w:tr>
      <w:tr>
        <w:tblPrEx>
          <w:tblCellMar>
            <w:top w:w="0" w:type="dxa"/>
            <w:left w:w="108" w:type="dxa"/>
            <w:bottom w:w="0"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2</w:t>
            </w:r>
          </w:p>
        </w:tc>
        <w:tc>
          <w:tcPr>
            <w:tcW w:w="1467"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23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《粤港澳大湾区的潜力、瓶颈与突破口》</w:t>
            </w:r>
          </w:p>
        </w:tc>
        <w:tc>
          <w:tcPr>
            <w:tcW w:w="386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肖耿 教授：</w:t>
            </w:r>
            <w:r>
              <w:rPr>
                <w:rFonts w:hint="eastAsia" w:ascii="仿宋_GB2312" w:hAnsi="等线" w:eastAsia="仿宋_GB2312" w:cs="宋体"/>
                <w:color w:val="000000"/>
                <w:kern w:val="0"/>
                <w:sz w:val="24"/>
                <w:szCs w:val="24"/>
                <w:lang w:val="en-US" w:eastAsia="zh-CN"/>
              </w:rPr>
              <w:fldChar w:fldCharType="begin"/>
            </w:r>
            <w:r>
              <w:rPr>
                <w:rFonts w:hint="eastAsia" w:ascii="仿宋_GB2312" w:hAnsi="等线" w:eastAsia="仿宋_GB2312" w:cs="宋体"/>
                <w:color w:val="000000"/>
                <w:kern w:val="0"/>
                <w:sz w:val="24"/>
                <w:szCs w:val="24"/>
                <w:lang w:val="en-US" w:eastAsia="zh-CN"/>
              </w:rPr>
              <w:instrText xml:space="preserve"> HYPERLINK "https://baike.baidu.com/item/%E9%A6%99%E6%B8%AF%E5%A4%A7%E5%AD%A6/233635" \t "https://baike.baidu.com/item/%E8%82%96%E8%80%BF/_blank" </w:instrText>
            </w:r>
            <w:r>
              <w:rPr>
                <w:rFonts w:hint="eastAsia" w:ascii="仿宋_GB2312" w:hAnsi="等线" w:eastAsia="仿宋_GB2312" w:cs="宋体"/>
                <w:color w:val="000000"/>
                <w:kern w:val="0"/>
                <w:sz w:val="24"/>
                <w:szCs w:val="24"/>
                <w:lang w:val="en-US" w:eastAsia="zh-CN"/>
              </w:rPr>
              <w:fldChar w:fldCharType="separate"/>
            </w:r>
            <w:r>
              <w:rPr>
                <w:rFonts w:hint="eastAsia" w:ascii="仿宋_GB2312" w:hAnsi="等线" w:eastAsia="仿宋_GB2312" w:cs="宋体"/>
                <w:color w:val="000000"/>
                <w:kern w:val="0"/>
                <w:sz w:val="24"/>
                <w:szCs w:val="24"/>
                <w:lang w:val="en-US" w:eastAsia="zh-CN"/>
              </w:rPr>
              <w:t>香港大学</w:t>
            </w:r>
            <w:r>
              <w:rPr>
                <w:rFonts w:hint="eastAsia" w:ascii="仿宋_GB2312" w:hAnsi="等线" w:eastAsia="仿宋_GB2312" w:cs="宋体"/>
                <w:color w:val="000000"/>
                <w:kern w:val="0"/>
                <w:sz w:val="24"/>
                <w:szCs w:val="24"/>
                <w:lang w:val="en-US" w:eastAsia="zh-CN"/>
              </w:rPr>
              <w:fldChar w:fldCharType="end"/>
            </w:r>
            <w:r>
              <w:rPr>
                <w:rFonts w:hint="eastAsia" w:ascii="仿宋_GB2312" w:hAnsi="等线" w:eastAsia="仿宋_GB2312" w:cs="宋体"/>
                <w:color w:val="000000"/>
                <w:kern w:val="0"/>
                <w:sz w:val="24"/>
                <w:szCs w:val="24"/>
                <w:lang w:val="en-US" w:eastAsia="zh-CN"/>
              </w:rPr>
              <w:t>经济金融学院副教授，兼任香港国际金融学会创会会长、广东珠海横琴自贸区专家委员会委员。</w:t>
            </w:r>
          </w:p>
        </w:tc>
      </w:tr>
      <w:tr>
        <w:tblPrEx>
          <w:tblCellMar>
            <w:top w:w="0" w:type="dxa"/>
            <w:left w:w="108" w:type="dxa"/>
            <w:bottom w:w="0"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3</w:t>
            </w:r>
          </w:p>
        </w:tc>
        <w:tc>
          <w:tcPr>
            <w:tcW w:w="1467" w:type="dxa"/>
            <w:vMerge w:val="continue"/>
            <w:tcBorders>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2300" w:type="dxa"/>
            <w:tcBorders>
              <w:top w:val="nil"/>
              <w:left w:val="nil"/>
              <w:bottom w:val="single" w:color="auto" w:sz="4" w:space="0"/>
              <w:right w:val="single" w:color="auto" w:sz="4" w:space="0"/>
            </w:tcBorders>
            <w:shd w:val="clear" w:color="auto" w:fill="auto"/>
            <w:vAlign w:val="center"/>
          </w:tcPr>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10" w:lineRule="atLeast"/>
              <w:ind w:leftChars="0" w:right="0" w:rightChars="0"/>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b w:val="0"/>
                <w:bCs w:val="0"/>
                <w:color w:val="000000"/>
                <w:kern w:val="0"/>
                <w:sz w:val="24"/>
                <w:szCs w:val="24"/>
                <w:lang w:val="en-US" w:eastAsia="zh-CN" w:bidi="ar-SA"/>
              </w:rPr>
              <w:t>《粤港澳大湾区融资环境与效率分析》</w:t>
            </w:r>
          </w:p>
        </w:tc>
        <w:tc>
          <w:tcPr>
            <w:tcW w:w="386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岑维 教授：</w:t>
            </w:r>
            <w:r>
              <w:rPr>
                <w:rFonts w:hint="default" w:ascii="仿宋_GB2312" w:hAnsi="等线" w:eastAsia="仿宋_GB2312" w:cs="宋体"/>
                <w:color w:val="000000"/>
                <w:kern w:val="0"/>
                <w:sz w:val="24"/>
                <w:szCs w:val="24"/>
                <w:lang w:val="en-US" w:eastAsia="zh-CN"/>
              </w:rPr>
              <w:t>北京大学汇丰商学院助教授，康奈尔大学应用经济学博士</w:t>
            </w:r>
            <w:r>
              <w:rPr>
                <w:rFonts w:hint="eastAsia" w:ascii="仿宋_GB2312" w:hAnsi="等线" w:eastAsia="仿宋_GB2312" w:cs="宋体"/>
                <w:color w:val="000000"/>
                <w:kern w:val="0"/>
                <w:sz w:val="24"/>
                <w:szCs w:val="24"/>
                <w:lang w:val="en-US" w:eastAsia="zh-CN"/>
              </w:rPr>
              <w:t>。</w:t>
            </w:r>
          </w:p>
        </w:tc>
      </w:tr>
      <w:tr>
        <w:tblPrEx>
          <w:tblCellMar>
            <w:top w:w="0" w:type="dxa"/>
            <w:left w:w="108" w:type="dxa"/>
            <w:bottom w:w="0" w:type="dxa"/>
            <w:right w:w="108" w:type="dxa"/>
          </w:tblCellMar>
        </w:tblPrEx>
        <w:trPr>
          <w:trHeight w:val="567" w:hRule="atLeast"/>
        </w:trPr>
        <w:tc>
          <w:tcPr>
            <w:tcW w:w="86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467" w:type="dxa"/>
            <w:vMerge w:val="restart"/>
            <w:tcBorders>
              <w:top w:val="nil"/>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嘉宾分享</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23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《粤港澳大湾区的科创与金融机遇》</w:t>
            </w:r>
          </w:p>
        </w:tc>
        <w:tc>
          <w:tcPr>
            <w:tcW w:w="386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胡未名先生：深圳市投资控股有限公司金融部副部长。</w:t>
            </w:r>
          </w:p>
        </w:tc>
      </w:tr>
      <w:tr>
        <w:tblPrEx>
          <w:tblCellMar>
            <w:top w:w="0" w:type="dxa"/>
            <w:left w:w="108" w:type="dxa"/>
            <w:bottom w:w="0" w:type="dxa"/>
            <w:right w:w="108" w:type="dxa"/>
          </w:tblCellMar>
        </w:tblPrEx>
        <w:trPr>
          <w:trHeight w:val="567" w:hRule="atLeast"/>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5</w:t>
            </w:r>
          </w:p>
        </w:tc>
        <w:tc>
          <w:tcPr>
            <w:tcW w:w="1467"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23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《碳达峰碳中和目标下的ESG投资》</w:t>
            </w:r>
          </w:p>
        </w:tc>
        <w:tc>
          <w:tcPr>
            <w:tcW w:w="386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王志峰 博士：挖财网络技术有限公司副总裁，兼任中国互联网金融协会金融科技专委会委员。</w:t>
            </w:r>
          </w:p>
        </w:tc>
      </w:tr>
      <w:tr>
        <w:tblPrEx>
          <w:tblCellMar>
            <w:top w:w="0" w:type="dxa"/>
            <w:left w:w="108" w:type="dxa"/>
            <w:bottom w:w="0" w:type="dxa"/>
            <w:right w:w="108" w:type="dxa"/>
          </w:tblCellMar>
        </w:tblPrEx>
        <w:trPr>
          <w:trHeight w:val="567" w:hRule="atLeast"/>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6</w:t>
            </w:r>
          </w:p>
        </w:tc>
        <w:tc>
          <w:tcPr>
            <w:tcW w:w="1467"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23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《粤港澳大湾区金融集聚的空间格局及影响因素》</w:t>
            </w:r>
          </w:p>
        </w:tc>
        <w:tc>
          <w:tcPr>
            <w:tcW w:w="386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魏玉君女士：中国科学院大学公共政策与管理学院博士</w:t>
            </w:r>
          </w:p>
        </w:tc>
      </w:tr>
      <w:tr>
        <w:tblPrEx>
          <w:tblCellMar>
            <w:top w:w="0" w:type="dxa"/>
            <w:left w:w="108" w:type="dxa"/>
            <w:bottom w:w="0" w:type="dxa"/>
            <w:right w:w="108" w:type="dxa"/>
          </w:tblCellMar>
        </w:tblPrEx>
        <w:trPr>
          <w:trHeight w:val="567" w:hRule="atLeast"/>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7</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企业走访+嘉宾分享</w:t>
            </w:r>
          </w:p>
        </w:tc>
        <w:tc>
          <w:tcPr>
            <w:tcW w:w="23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《共建生态圈，助力双循环》</w:t>
            </w:r>
          </w:p>
        </w:tc>
        <w:tc>
          <w:tcPr>
            <w:tcW w:w="386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中国太平：我国唯一一家管理总部在境外的中管金融企业， 2021年度全国版权示范单位。</w:t>
            </w:r>
          </w:p>
        </w:tc>
      </w:tr>
      <w:tr>
        <w:tblPrEx>
          <w:tblCellMar>
            <w:top w:w="0" w:type="dxa"/>
            <w:left w:w="108" w:type="dxa"/>
            <w:bottom w:w="0" w:type="dxa"/>
            <w:right w:w="108" w:type="dxa"/>
          </w:tblCellMar>
        </w:tblPrEx>
        <w:trPr>
          <w:trHeight w:val="567" w:hRule="atLeast"/>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8</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企业走访</w:t>
            </w:r>
          </w:p>
        </w:tc>
        <w:tc>
          <w:tcPr>
            <w:tcW w:w="23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《金融支持粤港澳大湾区发展》</w:t>
            </w:r>
          </w:p>
        </w:tc>
        <w:tc>
          <w:tcPr>
            <w:tcW w:w="386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珠海华发集团有限公司：国务院国企改革“双百企业”。华发集团现控股“8家上市公司，2家新三板挂牌企业；成功打造华发集团、华发股份、华发综合发展、华发投控4家“3A信用主体”。</w:t>
            </w:r>
          </w:p>
        </w:tc>
      </w:tr>
      <w:tr>
        <w:tblPrEx>
          <w:tblCellMar>
            <w:top w:w="0" w:type="dxa"/>
            <w:left w:w="108" w:type="dxa"/>
            <w:bottom w:w="0" w:type="dxa"/>
            <w:right w:w="108" w:type="dxa"/>
          </w:tblCellMar>
        </w:tblPrEx>
        <w:trPr>
          <w:trHeight w:val="567" w:hRule="atLeast"/>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9</w:t>
            </w:r>
          </w:p>
        </w:tc>
        <w:tc>
          <w:tcPr>
            <w:tcW w:w="1467"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企业走访+嘉宾分享</w:t>
            </w:r>
          </w:p>
        </w:tc>
        <w:tc>
          <w:tcPr>
            <w:tcW w:w="23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《新型多双边基金——跨境投资与国际产业合作》</w:t>
            </w:r>
          </w:p>
        </w:tc>
        <w:tc>
          <w:tcPr>
            <w:tcW w:w="386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张新女士：汇丰银行环球银行金融及公营机构业务总监</w:t>
            </w:r>
          </w:p>
        </w:tc>
      </w:tr>
    </w:tbl>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lang w:val="en-US" w:eastAsia="zh-CN"/>
        </w:rPr>
      </w:pPr>
      <w:r>
        <w:rPr>
          <w:rFonts w:hint="eastAsia" w:ascii="仿宋_GB2312" w:hAnsi="楷体" w:eastAsia="仿宋_GB2312" w:cs="Times New Roman"/>
          <w:sz w:val="28"/>
          <w:szCs w:val="28"/>
          <w:lang w:val="en-US" w:eastAsia="zh-CN"/>
        </w:rPr>
        <w:t>备注：实际课程安排根据嘉宾及企业时间调整，北京大学汇丰商学院保留调整的权利。</w:t>
      </w:r>
    </w:p>
    <w:p>
      <w:pPr>
        <w:spacing w:before="240"/>
        <w:ind w:firstLine="640" w:firstLineChars="200"/>
        <w:rPr>
          <w:rFonts w:hint="eastAsia" w:ascii="黑体" w:hAnsi="黑体" w:eastAsia="黑体" w:cs="Times New Roman"/>
          <w:b w:val="0"/>
          <w:bCs w:val="0"/>
          <w:sz w:val="32"/>
          <w:szCs w:val="32"/>
        </w:rPr>
      </w:pPr>
      <w:r>
        <w:rPr>
          <w:rFonts w:hint="eastAsia" w:ascii="黑体" w:hAnsi="黑体" w:eastAsia="黑体" w:cs="Times New Roman"/>
          <w:b w:val="0"/>
          <w:bCs w:val="0"/>
          <w:sz w:val="32"/>
          <w:szCs w:val="32"/>
        </w:rPr>
        <w:t>三、课程学时及时间安排</w:t>
      </w:r>
    </w:p>
    <w:tbl>
      <w:tblPr>
        <w:tblStyle w:val="8"/>
        <w:tblW w:w="8502" w:type="dxa"/>
        <w:jc w:val="center"/>
        <w:tblLayout w:type="autofit"/>
        <w:tblCellMar>
          <w:top w:w="0" w:type="dxa"/>
          <w:left w:w="108" w:type="dxa"/>
          <w:bottom w:w="0" w:type="dxa"/>
          <w:right w:w="108" w:type="dxa"/>
        </w:tblCellMar>
      </w:tblPr>
      <w:tblGrid>
        <w:gridCol w:w="846"/>
        <w:gridCol w:w="3363"/>
        <w:gridCol w:w="950"/>
        <w:gridCol w:w="1493"/>
        <w:gridCol w:w="1850"/>
      </w:tblGrid>
      <w:tr>
        <w:tblPrEx>
          <w:tblCellMar>
            <w:top w:w="0" w:type="dxa"/>
            <w:left w:w="108" w:type="dxa"/>
            <w:bottom w:w="0" w:type="dxa"/>
            <w:right w:w="108" w:type="dxa"/>
          </w:tblCellMar>
        </w:tblPrEx>
        <w:trPr>
          <w:trHeight w:val="561"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序号</w:t>
            </w:r>
          </w:p>
        </w:tc>
        <w:tc>
          <w:tcPr>
            <w:tcW w:w="336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课程名称</w:t>
            </w:r>
          </w:p>
        </w:tc>
        <w:tc>
          <w:tcPr>
            <w:tcW w:w="95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课时</w:t>
            </w:r>
          </w:p>
        </w:tc>
        <w:tc>
          <w:tcPr>
            <w:tcW w:w="149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时间安排</w:t>
            </w:r>
          </w:p>
        </w:tc>
        <w:tc>
          <w:tcPr>
            <w:tcW w:w="185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上课地点</w:t>
            </w: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1</w:t>
            </w:r>
          </w:p>
        </w:tc>
        <w:tc>
          <w:tcPr>
            <w:tcW w:w="336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《从产业和区域经济角度推动大湾区融合》</w:t>
            </w:r>
          </w:p>
        </w:tc>
        <w:tc>
          <w:tcPr>
            <w:tcW w:w="9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493" w:type="dxa"/>
            <w:vMerge w:val="restart"/>
            <w:tcBorders>
              <w:top w:val="nil"/>
              <w:left w:val="nil"/>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2022年8月中旬-10月中旬</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1850" w:type="dxa"/>
            <w:vMerge w:val="restart"/>
            <w:tcBorders>
              <w:top w:val="nil"/>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北京大学汇丰商学院（南山西丽大学城北大园区北大汇丰商学院）</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2</w:t>
            </w:r>
          </w:p>
        </w:tc>
        <w:tc>
          <w:tcPr>
            <w:tcW w:w="336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《共建生态圈，助力双循环》</w:t>
            </w:r>
          </w:p>
        </w:tc>
        <w:tc>
          <w:tcPr>
            <w:tcW w:w="9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493" w:type="dxa"/>
            <w:vMerge w:val="continue"/>
            <w:tcBorders>
              <w:left w:val="nil"/>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1850"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3</w:t>
            </w:r>
          </w:p>
        </w:tc>
        <w:tc>
          <w:tcPr>
            <w:tcW w:w="336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《粤港澳大湾区的潜力、瓶颈与突破口》</w:t>
            </w:r>
          </w:p>
        </w:tc>
        <w:tc>
          <w:tcPr>
            <w:tcW w:w="9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493" w:type="dxa"/>
            <w:vMerge w:val="continue"/>
            <w:tcBorders>
              <w:left w:val="nil"/>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1850"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336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《粤港澳大湾区金融集聚的空间格局及影响因素》</w:t>
            </w:r>
          </w:p>
        </w:tc>
        <w:tc>
          <w:tcPr>
            <w:tcW w:w="9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493" w:type="dxa"/>
            <w:vMerge w:val="continue"/>
            <w:tcBorders>
              <w:left w:val="nil"/>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1850"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5</w:t>
            </w:r>
          </w:p>
        </w:tc>
        <w:tc>
          <w:tcPr>
            <w:tcW w:w="336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b w:val="0"/>
                <w:bCs w:val="0"/>
                <w:color w:val="000000"/>
                <w:kern w:val="0"/>
                <w:sz w:val="24"/>
                <w:szCs w:val="24"/>
                <w:lang w:val="en-US" w:eastAsia="zh-CN" w:bidi="ar-SA"/>
              </w:rPr>
              <w:t>《粤港澳大湾区融资环境与效率分析》</w:t>
            </w:r>
          </w:p>
        </w:tc>
        <w:tc>
          <w:tcPr>
            <w:tcW w:w="9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493" w:type="dxa"/>
            <w:vMerge w:val="continue"/>
            <w:tcBorders>
              <w:left w:val="nil"/>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1850"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6</w:t>
            </w:r>
          </w:p>
        </w:tc>
        <w:tc>
          <w:tcPr>
            <w:tcW w:w="33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《粤港澳大湾区的科创与金融机遇》</w:t>
            </w:r>
          </w:p>
        </w:tc>
        <w:tc>
          <w:tcPr>
            <w:tcW w:w="95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493" w:type="dxa"/>
            <w:vMerge w:val="continue"/>
            <w:tcBorders>
              <w:left w:val="nil"/>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1850"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7</w:t>
            </w:r>
          </w:p>
        </w:tc>
        <w:tc>
          <w:tcPr>
            <w:tcW w:w="33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《金融支持粤港澳大湾区发展》</w:t>
            </w:r>
          </w:p>
        </w:tc>
        <w:tc>
          <w:tcPr>
            <w:tcW w:w="95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493" w:type="dxa"/>
            <w:vMerge w:val="continue"/>
            <w:tcBorders>
              <w:left w:val="nil"/>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1850"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8</w:t>
            </w:r>
          </w:p>
        </w:tc>
        <w:tc>
          <w:tcPr>
            <w:tcW w:w="33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《新型多双边基金——跨境投资与国际产业合作》</w:t>
            </w:r>
          </w:p>
        </w:tc>
        <w:tc>
          <w:tcPr>
            <w:tcW w:w="95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493" w:type="dxa"/>
            <w:vMerge w:val="continue"/>
            <w:tcBorders>
              <w:left w:val="nil"/>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1850" w:type="dxa"/>
            <w:vMerge w:val="continue"/>
            <w:tcBorders>
              <w:left w:val="nil"/>
              <w:right w:val="single" w:color="auto" w:sz="4" w:space="0"/>
            </w:tcBorders>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9</w:t>
            </w:r>
          </w:p>
        </w:tc>
        <w:tc>
          <w:tcPr>
            <w:tcW w:w="33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《碳达峰碳中和目标下的ESG投资》</w:t>
            </w:r>
          </w:p>
        </w:tc>
        <w:tc>
          <w:tcPr>
            <w:tcW w:w="95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493" w:type="dxa"/>
            <w:vMerge w:val="continue"/>
            <w:tcBorders>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c>
          <w:tcPr>
            <w:tcW w:w="1850" w:type="dxa"/>
            <w:vMerge w:val="continue"/>
            <w:tcBorders>
              <w:left w:val="nil"/>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合计</w:t>
            </w:r>
          </w:p>
        </w:tc>
        <w:tc>
          <w:tcPr>
            <w:tcW w:w="7656" w:type="dxa"/>
            <w:gridSpan w:val="4"/>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36</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1" w:firstLine="560" w:firstLineChars="200"/>
        <w:textAlignment w:val="auto"/>
        <w:rPr>
          <w:rFonts w:hint="eastAsia" w:ascii="黑体" w:hAnsi="黑体" w:eastAsia="黑体"/>
          <w:b/>
          <w:bCs/>
          <w:sz w:val="36"/>
          <w:szCs w:val="36"/>
        </w:rPr>
      </w:pPr>
      <w:r>
        <w:rPr>
          <w:rFonts w:hint="eastAsia" w:ascii="仿宋_GB2312" w:hAnsi="楷体" w:eastAsia="仿宋_GB2312" w:cs="Times New Roman"/>
          <w:sz w:val="28"/>
          <w:szCs w:val="28"/>
          <w:lang w:val="en-US" w:eastAsia="zh-CN"/>
        </w:rPr>
        <w:t>备注：上课时间：2022年8月中旬-10月中旬。学制：2个月，每月安排一次，每次2-3天（周五至周日）。</w:t>
      </w:r>
      <w:bookmarkStart w:id="0" w:name="_Hlk106309131"/>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lang w:val="en-US" w:eastAsia="zh-CN"/>
        </w:rPr>
      </w:pPr>
      <w:r>
        <w:rPr>
          <w:rFonts w:hint="eastAsia" w:ascii="黑体" w:hAnsi="黑体" w:eastAsia="黑体"/>
          <w:b/>
          <w:bCs/>
          <w:sz w:val="36"/>
          <w:szCs w:val="36"/>
        </w:rPr>
        <w:t>第三部分 缴费、考核及其他事项</w:t>
      </w:r>
    </w:p>
    <w:bookmarkEnd w:id="0"/>
    <w:p>
      <w:pPr>
        <w:spacing w:before="240"/>
        <w:ind w:firstLine="640" w:firstLineChars="200"/>
        <w:rPr>
          <w:rFonts w:hint="eastAsia" w:ascii="黑体" w:hAnsi="黑体" w:eastAsia="黑体" w:cs="Times New Roman"/>
          <w:b w:val="0"/>
          <w:bCs w:val="0"/>
          <w:sz w:val="32"/>
          <w:szCs w:val="32"/>
          <w:lang w:val="en-US" w:eastAsia="zh-CN"/>
        </w:rPr>
      </w:pPr>
      <w:r>
        <w:rPr>
          <w:rFonts w:hint="eastAsia" w:ascii="黑体" w:hAnsi="黑体" w:eastAsia="黑体" w:cs="Times New Roman"/>
          <w:b w:val="0"/>
          <w:bCs w:val="0"/>
          <w:sz w:val="32"/>
          <w:szCs w:val="32"/>
          <w:lang w:val="en-US" w:eastAsia="zh-CN"/>
        </w:rPr>
        <w:t>一、考核要求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333333"/>
          <w:kern w:val="0"/>
          <w:sz w:val="32"/>
          <w:szCs w:val="32"/>
          <w:shd w:val="clear" w:color="auto" w:fill="FFFFFF"/>
          <w:lang w:val="en-US" w:eastAsia="zh-CN"/>
        </w:rPr>
      </w:pPr>
      <w:r>
        <w:rPr>
          <w:rFonts w:hint="eastAsia" w:ascii="楷体_GB2312" w:hAnsi="楷体_GB2312" w:eastAsia="楷体_GB2312" w:cs="楷体_GB2312"/>
          <w:b w:val="0"/>
          <w:bCs w:val="0"/>
          <w:color w:val="333333"/>
          <w:kern w:val="0"/>
          <w:sz w:val="32"/>
          <w:szCs w:val="32"/>
          <w:shd w:val="clear" w:color="auto" w:fill="FFFFFF"/>
          <w:lang w:val="en-US" w:eastAsia="zh-CN"/>
        </w:rPr>
        <w:t>（一）考勤达标</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总课时为36课时，学员缺勤次数不得超过6课时，即总学时的1/6。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333333"/>
          <w:kern w:val="0"/>
          <w:sz w:val="32"/>
          <w:szCs w:val="32"/>
          <w:shd w:val="clear" w:color="auto" w:fill="FFFFFF"/>
          <w:lang w:val="en-US" w:eastAsia="zh-CN"/>
        </w:rPr>
      </w:pPr>
      <w:r>
        <w:rPr>
          <w:rFonts w:hint="eastAsia" w:ascii="楷体_GB2312" w:hAnsi="楷体_GB2312" w:eastAsia="楷体_GB2312" w:cs="楷体_GB2312"/>
          <w:b w:val="0"/>
          <w:bCs w:val="0"/>
          <w:color w:val="333333"/>
          <w:kern w:val="0"/>
          <w:sz w:val="32"/>
          <w:szCs w:val="32"/>
          <w:shd w:val="clear" w:color="auto" w:fill="FFFFFF"/>
          <w:lang w:val="en-US" w:eastAsia="zh-CN"/>
        </w:rPr>
        <w:t>（二）提交学习报告</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结业前，学员以组成课题小组的形式提交1篇课题报告。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333333"/>
          <w:kern w:val="0"/>
          <w:sz w:val="32"/>
          <w:szCs w:val="32"/>
          <w:shd w:val="clear" w:color="auto" w:fill="FFFFFF"/>
          <w:lang w:val="en-US" w:eastAsia="zh-CN"/>
        </w:rPr>
      </w:pPr>
      <w:r>
        <w:rPr>
          <w:rFonts w:hint="eastAsia" w:ascii="楷体_GB2312" w:hAnsi="楷体_GB2312" w:eastAsia="楷体_GB2312" w:cs="楷体_GB2312"/>
          <w:b w:val="0"/>
          <w:bCs w:val="0"/>
          <w:color w:val="333333"/>
          <w:kern w:val="0"/>
          <w:sz w:val="32"/>
          <w:szCs w:val="32"/>
          <w:shd w:val="clear" w:color="auto" w:fill="FFFFFF"/>
          <w:lang w:val="en-US" w:eastAsia="zh-CN"/>
        </w:rPr>
        <w:t>（三）考核结果运用</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享受财政补贴的学员考勤达标且提交学习报告的，才可享受培养经费资助。</w:t>
      </w:r>
    </w:p>
    <w:p>
      <w:pPr>
        <w:spacing w:before="240"/>
        <w:ind w:firstLine="640" w:firstLineChars="200"/>
        <w:rPr>
          <w:rFonts w:hint="eastAsia" w:ascii="黑体" w:hAnsi="黑体" w:eastAsia="黑体" w:cs="Times New Roman"/>
          <w:b w:val="0"/>
          <w:bCs w:val="0"/>
          <w:sz w:val="32"/>
          <w:szCs w:val="32"/>
          <w:lang w:val="en-US" w:eastAsia="zh-CN"/>
        </w:rPr>
      </w:pPr>
      <w:r>
        <w:rPr>
          <w:rFonts w:hint="eastAsia" w:ascii="黑体" w:hAnsi="黑体" w:eastAsia="黑体" w:cs="Times New Roman"/>
          <w:b w:val="0"/>
          <w:bCs w:val="0"/>
          <w:sz w:val="32"/>
          <w:szCs w:val="32"/>
          <w:lang w:val="en-US" w:eastAsia="zh-CN"/>
        </w:rPr>
        <w:t>二、学费缴纳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333333"/>
          <w:kern w:val="0"/>
          <w:sz w:val="32"/>
          <w:szCs w:val="32"/>
          <w:shd w:val="clear" w:color="auto" w:fill="FFFFFF"/>
          <w:lang w:val="en-US" w:eastAsia="zh-CN"/>
        </w:rPr>
      </w:pPr>
      <w:r>
        <w:rPr>
          <w:rFonts w:hint="eastAsia" w:ascii="楷体_GB2312" w:hAnsi="楷体_GB2312" w:eastAsia="楷体_GB2312" w:cs="楷体_GB2312"/>
          <w:b w:val="0"/>
          <w:bCs w:val="0"/>
          <w:color w:val="333333"/>
          <w:kern w:val="0"/>
          <w:sz w:val="32"/>
          <w:szCs w:val="32"/>
          <w:shd w:val="clear" w:color="auto" w:fill="FFFFFF"/>
          <w:lang w:val="en-US" w:eastAsia="zh-CN"/>
        </w:rPr>
        <w:t>（一）费用标准</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2022年深圳市金融骨干人才培养计划系列专题研修班学费为15000元/人，学费含师资费、场地费、餐费（上课期间工作餐）、学习资料费、团建活动费、项目管理费等。其中财政补贴学员先行缴纳全额学费，项目结业到达考核标准，发放财政补贴1万元/人。非财政补贴学员需自费缴纳全额学费15000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333333"/>
          <w:kern w:val="0"/>
          <w:sz w:val="32"/>
          <w:szCs w:val="32"/>
          <w:shd w:val="clear" w:color="auto" w:fill="FFFFFF"/>
          <w:lang w:val="en-US" w:eastAsia="zh-CN"/>
        </w:rPr>
      </w:pPr>
      <w:r>
        <w:rPr>
          <w:rFonts w:hint="eastAsia" w:ascii="楷体_GB2312" w:hAnsi="楷体_GB2312" w:eastAsia="楷体_GB2312" w:cs="楷体_GB2312"/>
          <w:b w:val="0"/>
          <w:bCs w:val="0"/>
          <w:color w:val="333333"/>
          <w:kern w:val="0"/>
          <w:sz w:val="32"/>
          <w:szCs w:val="32"/>
          <w:shd w:val="clear" w:color="auto" w:fill="FFFFFF"/>
          <w:lang w:val="en-US" w:eastAsia="zh-CN"/>
        </w:rPr>
        <w:t>（二）收款账号</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收款单位: 北京大学深圳研究生院</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开户银行：平安银行股份有限公司深圳大学城支行</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账    号：12440300455753025A</w:t>
      </w:r>
    </w:p>
    <w:p>
      <w:pPr>
        <w:spacing w:line="360" w:lineRule="auto"/>
        <w:ind w:left="1" w:firstLine="560" w:firstLineChars="200"/>
        <w:rPr>
          <w:rFonts w:hint="eastAsia" w:ascii="仿宋_GB2312" w:hAnsi="楷体" w:eastAsia="仿宋_GB2312" w:cs="Times New Roman"/>
          <w:sz w:val="28"/>
          <w:szCs w:val="28"/>
          <w:lang w:val="en-US" w:eastAsia="zh-CN"/>
        </w:rPr>
      </w:pPr>
      <w:r>
        <w:rPr>
          <w:rFonts w:hint="eastAsia" w:ascii="仿宋_GB2312" w:hAnsi="楷体" w:eastAsia="仿宋_GB2312" w:cs="Times New Roman"/>
          <w:sz w:val="28"/>
          <w:szCs w:val="28"/>
          <w:lang w:val="en-US" w:eastAsia="zh-CN"/>
        </w:rPr>
        <w:t>*转帐备注：2022年深圳市金融骨干人才研修班+单位+学员姓名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333333"/>
          <w:kern w:val="0"/>
          <w:sz w:val="32"/>
          <w:szCs w:val="32"/>
          <w:shd w:val="clear" w:color="auto" w:fill="FFFFFF"/>
          <w:lang w:val="en-US" w:eastAsia="zh-CN"/>
        </w:rPr>
      </w:pPr>
      <w:r>
        <w:rPr>
          <w:rFonts w:hint="eastAsia" w:ascii="楷体_GB2312" w:hAnsi="楷体_GB2312" w:eastAsia="楷体_GB2312" w:cs="楷体_GB2312"/>
          <w:b w:val="0"/>
          <w:bCs w:val="0"/>
          <w:color w:val="333333"/>
          <w:kern w:val="0"/>
          <w:sz w:val="32"/>
          <w:szCs w:val="32"/>
          <w:shd w:val="clear" w:color="auto" w:fill="FFFFFF"/>
          <w:lang w:val="en-US" w:eastAsia="zh-CN"/>
        </w:rPr>
        <w:t>（三）发票开具</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学员提供单位名称、纳税人识别号、地址、联系电话、开户银行、银行账号等信息，北大汇丰开具增值税普通发票（电子发票）。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333333"/>
          <w:kern w:val="0"/>
          <w:sz w:val="32"/>
          <w:szCs w:val="32"/>
          <w:shd w:val="clear" w:color="auto" w:fill="FFFFFF"/>
          <w:lang w:val="en-US" w:eastAsia="zh-CN"/>
        </w:rPr>
      </w:pPr>
      <w:r>
        <w:rPr>
          <w:rFonts w:hint="eastAsia" w:ascii="楷体_GB2312" w:hAnsi="楷体_GB2312" w:eastAsia="楷体_GB2312" w:cs="楷体_GB2312"/>
          <w:b w:val="0"/>
          <w:bCs w:val="0"/>
          <w:color w:val="333333"/>
          <w:kern w:val="0"/>
          <w:sz w:val="32"/>
          <w:szCs w:val="32"/>
          <w:shd w:val="clear" w:color="auto" w:fill="FFFFFF"/>
          <w:lang w:val="en-US" w:eastAsia="zh-CN"/>
        </w:rPr>
        <w:t>（四）联系方式</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联系人：叶老师、王老师</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电话：0755-26033184，0755-26032187</w:t>
      </w:r>
    </w:p>
    <w:p>
      <w:pPr>
        <w:spacing w:before="240"/>
        <w:ind w:firstLine="640" w:firstLineChars="200"/>
        <w:rPr>
          <w:rFonts w:hint="eastAsia" w:ascii="黑体" w:hAnsi="黑体" w:eastAsia="黑体" w:cs="Times New Roman"/>
          <w:b w:val="0"/>
          <w:bCs w:val="0"/>
          <w:sz w:val="32"/>
          <w:szCs w:val="32"/>
          <w:lang w:val="en-US" w:eastAsia="zh-CN"/>
        </w:rPr>
      </w:pPr>
      <w:r>
        <w:rPr>
          <w:rFonts w:hint="eastAsia" w:ascii="黑体" w:hAnsi="黑体" w:eastAsia="黑体" w:cs="Times New Roman"/>
          <w:b w:val="0"/>
          <w:bCs w:val="0"/>
          <w:sz w:val="32"/>
          <w:szCs w:val="32"/>
          <w:lang w:val="en-US" w:eastAsia="zh-CN"/>
        </w:rPr>
        <w:t>三、办学机构简介</w:t>
      </w:r>
    </w:p>
    <w:p>
      <w:pPr>
        <w:spacing w:line="360" w:lineRule="auto"/>
        <w:ind w:left="1" w:firstLine="640" w:firstLineChars="200"/>
        <w:rPr>
          <w:rFonts w:hint="eastAsia" w:ascii="仿宋_GB2312" w:hAnsi="楷体" w:eastAsia="仿宋_GB2312" w:cs="Times New Roman"/>
          <w:sz w:val="32"/>
          <w:szCs w:val="32"/>
          <w:lang w:val="en-US" w:eastAsia="zh-CN"/>
        </w:rPr>
      </w:pPr>
      <w:bookmarkStart w:id="1" w:name="OLE_LINK1"/>
      <w:bookmarkStart w:id="2" w:name="_Toc326333887"/>
      <w:r>
        <w:rPr>
          <w:rFonts w:hint="eastAsia" w:ascii="仿宋_GB2312" w:hAnsi="楷体" w:eastAsia="仿宋_GB2312" w:cs="Times New Roman"/>
          <w:sz w:val="32"/>
          <w:szCs w:val="32"/>
          <w:lang w:val="en-US" w:eastAsia="zh-CN"/>
        </w:rPr>
        <w:drawing>
          <wp:anchor distT="0" distB="0" distL="114300" distR="114300" simplePos="0" relativeHeight="251659264" behindDoc="0" locked="0" layoutInCell="1" allowOverlap="1">
            <wp:simplePos x="0" y="0"/>
            <wp:positionH relativeFrom="column">
              <wp:posOffset>-80010</wp:posOffset>
            </wp:positionH>
            <wp:positionV relativeFrom="paragraph">
              <wp:posOffset>100965</wp:posOffset>
            </wp:positionV>
            <wp:extent cx="3390900" cy="1842770"/>
            <wp:effectExtent l="0" t="0" r="0" b="5080"/>
            <wp:wrapSquare wrapText="bothSides"/>
            <wp:docPr id="4" name="图片 4" descr="165594833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5948335653"/>
                    <pic:cNvPicPr>
                      <a:picLocks noChangeAspect="1"/>
                    </pic:cNvPicPr>
                  </pic:nvPicPr>
                  <pic:blipFill>
                    <a:blip r:embed="rId6"/>
                    <a:srcRect t="18300"/>
                    <a:stretch>
                      <a:fillRect/>
                    </a:stretch>
                  </pic:blipFill>
                  <pic:spPr>
                    <a:xfrm>
                      <a:off x="0" y="0"/>
                      <a:ext cx="3390900" cy="1842770"/>
                    </a:xfrm>
                    <a:prstGeom prst="rect">
                      <a:avLst/>
                    </a:prstGeom>
                  </pic:spPr>
                </pic:pic>
              </a:graphicData>
            </a:graphic>
          </wp:anchor>
        </w:drawing>
      </w:r>
      <w:r>
        <w:rPr>
          <w:rFonts w:hint="eastAsia" w:ascii="仿宋_GB2312" w:hAnsi="楷体" w:eastAsia="仿宋_GB2312" w:cs="Times New Roman"/>
          <w:sz w:val="32"/>
          <w:szCs w:val="32"/>
          <w:lang w:val="en-US" w:eastAsia="zh-CN"/>
        </w:rPr>
        <w:t>北京大学汇丰商学院（原北京大学深圳商学院）创办于2004年，是集教学、研究和社会服务于一体的学院，由原北京大学副校长海闻教授担任创院院长。2008年8月30日，汇丰银行捐赠1.5亿人民币支持北京大学建设世界一流商学院，“北京大学深圳商学院”正式冠名为“北京大学汇丰商学院”。</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北京大学汇丰商学院是北京大学直属的二级学院，也是唯一总部位于深圳的一线商学院。学院的目标是建设国际化的教学环境，致力于经济、金融、管理的前沿学术研究，建设一流的“商界军校”，培养有领导力、有自制力、有远大视野的商界领袖。学院发挥北京大学的科研优势，立足深圳大湾区，目前学院已通过AACSB、AMBA、EQUIS认证，跻身世界一流商学院行列。</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学院充分利用深圳独特的创新环境和毗邻香港国际大都会的有利条件，发挥北京大学的科研优势，立足深圳、面向世界，致力于为政府决策部门、研究机构、企业、以及各类金融机构培养具有扎实理论基础、较强实际工作能力的高级经济、管理、金融人才。</w:t>
      </w:r>
    </w:p>
    <w:p>
      <w:pPr>
        <w:spacing w:line="360" w:lineRule="auto"/>
        <w:ind w:left="1" w:firstLine="640"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北大汇丰商学院高层管理培训中心（EDP）根据企业家、企业或相关机构的需要，开发设计了管理、经济、金融、公共服务等各类前沿知识的理论与实践课程，多年来形成了完整优质的高层管理培训课程体系和解决方案，积累了丰富的教学教务经验。</w:t>
      </w:r>
      <w:bookmarkEnd w:id="1"/>
    </w:p>
    <w:bookmarkEnd w:id="2"/>
    <w:p>
      <w:pPr>
        <w:spacing w:line="360" w:lineRule="auto"/>
        <w:ind w:left="1" w:firstLine="643" w:firstLineChars="200"/>
        <w:rPr>
          <w:rFonts w:hint="eastAsia" w:ascii="仿宋_GB2312" w:hAnsi="楷体" w:eastAsia="仿宋_GB2312" w:cs="Times New Roman"/>
          <w:sz w:val="32"/>
          <w:szCs w:val="32"/>
          <w:lang w:val="en-US" w:eastAsia="zh-CN"/>
        </w:rPr>
      </w:pPr>
      <w:bookmarkStart w:id="3" w:name="_Toc11525"/>
      <w:bookmarkStart w:id="4" w:name="_Toc298850758"/>
      <w:bookmarkStart w:id="5" w:name="_Toc258402074"/>
      <w:bookmarkStart w:id="6" w:name="_Toc314427553"/>
      <w:bookmarkStart w:id="7" w:name="_Toc324404808"/>
      <w:bookmarkStart w:id="8" w:name="_Toc258420754"/>
      <w:bookmarkStart w:id="9" w:name="_Toc388269937"/>
      <w:r>
        <w:rPr>
          <w:rFonts w:hint="eastAsia" w:ascii="仿宋_GB2312" w:hAnsi="楷体" w:eastAsia="仿宋_GB2312" w:cs="Times New Roman"/>
          <w:b/>
          <w:bCs/>
          <w:sz w:val="32"/>
          <w:szCs w:val="32"/>
          <w:lang w:val="en-US" w:eastAsia="zh-CN"/>
        </w:rPr>
        <w:t>教学优势：</w:t>
      </w:r>
      <w:r>
        <w:rPr>
          <w:rFonts w:hint="eastAsia" w:ascii="仿宋_GB2312" w:hAnsi="楷体" w:eastAsia="仿宋_GB2312" w:cs="Times New Roman"/>
          <w:sz w:val="32"/>
          <w:szCs w:val="32"/>
          <w:lang w:val="en-US" w:eastAsia="zh-CN"/>
        </w:rPr>
        <w:t>北京大学汇丰商学院凭借雄厚的师资力量、突出的科研实力、深入的企业联系、广泛的国际交流，整合各项资源优势，采用灵活的课程组合，实施严格的质量管理，提供体验式的教学设计，全力打造精准化的培训课程体系。</w:t>
      </w:r>
    </w:p>
    <w:p>
      <w:pPr>
        <w:spacing w:line="360" w:lineRule="auto"/>
        <w:ind w:left="1" w:firstLine="643"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b/>
          <w:bCs/>
          <w:sz w:val="32"/>
          <w:szCs w:val="32"/>
          <w:lang w:val="en-US" w:eastAsia="zh-CN"/>
        </w:rPr>
        <w:t>服务优势：</w:t>
      </w:r>
      <w:r>
        <w:rPr>
          <w:rFonts w:hint="eastAsia" w:ascii="仿宋_GB2312" w:hAnsi="楷体" w:eastAsia="仿宋_GB2312" w:cs="Times New Roman"/>
          <w:sz w:val="32"/>
          <w:szCs w:val="32"/>
          <w:lang w:val="en-US" w:eastAsia="zh-CN"/>
        </w:rPr>
        <w:t>北京大学汇丰商学院采用项目制管理方式，为每个班级成立项目管理团队，配备了专业的教学教务团队，重视全过程学习和成果转化，确保教学质量和教学效果。学院开展课前调研工作，向授课老师反映课程需求，力求在课堂中有针对性的深入剖析和细致讲解，同时注重案例与企业实际相结合，注重定制与成果转化，最大程度满足学员的预期，达成课程预期效果。</w:t>
      </w:r>
      <w:bookmarkEnd w:id="3"/>
      <w:bookmarkEnd w:id="4"/>
      <w:bookmarkEnd w:id="5"/>
      <w:bookmarkEnd w:id="6"/>
      <w:bookmarkEnd w:id="7"/>
      <w:bookmarkEnd w:id="8"/>
      <w:bookmarkEnd w:id="9"/>
    </w:p>
    <w:p>
      <w:pPr>
        <w:spacing w:line="360" w:lineRule="auto"/>
        <w:ind w:left="1" w:firstLine="643"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b/>
          <w:bCs/>
          <w:sz w:val="32"/>
          <w:szCs w:val="32"/>
          <w:lang w:val="en-US" w:eastAsia="zh-CN"/>
        </w:rPr>
        <w:t>人才培养经验：</w:t>
      </w:r>
      <w:r>
        <w:rPr>
          <w:rFonts w:hint="eastAsia" w:ascii="仿宋_GB2312" w:hAnsi="楷体" w:eastAsia="仿宋_GB2312" w:cs="Times New Roman"/>
          <w:sz w:val="32"/>
          <w:szCs w:val="32"/>
          <w:lang w:val="en-US" w:eastAsia="zh-CN"/>
        </w:rPr>
        <w:t>北京大学汇丰商学院与众多企业有着广泛的合作，包含多家金融机构，实体企业及政府项目等。</w:t>
      </w:r>
    </w:p>
    <w:p>
      <w:pPr>
        <w:spacing w:line="360" w:lineRule="auto"/>
        <w:ind w:left="1" w:firstLine="643" w:firstLineChars="200"/>
        <w:rPr>
          <w:rFonts w:hint="eastAsia" w:ascii="仿宋_GB2312" w:hAnsi="楷体" w:eastAsia="仿宋_GB2312" w:cs="Times New Roman"/>
          <w:sz w:val="32"/>
          <w:szCs w:val="32"/>
          <w:lang w:val="en-US" w:eastAsia="zh-CN"/>
        </w:rPr>
      </w:pPr>
      <w:r>
        <w:rPr>
          <w:rFonts w:hint="eastAsia" w:ascii="仿宋_GB2312" w:hAnsi="楷体" w:eastAsia="仿宋_GB2312" w:cs="Times New Roman"/>
          <w:b/>
          <w:bCs/>
          <w:sz w:val="32"/>
          <w:szCs w:val="32"/>
          <w:lang w:val="en-US" w:eastAsia="zh-CN"/>
        </w:rPr>
        <w:t>平台优势：</w:t>
      </w:r>
      <w:r>
        <w:rPr>
          <w:rFonts w:hint="eastAsia" w:ascii="仿宋_GB2312" w:hAnsi="楷体" w:eastAsia="仿宋_GB2312" w:cs="Times New Roman"/>
          <w:sz w:val="32"/>
          <w:szCs w:val="32"/>
          <w:lang w:val="en-US" w:eastAsia="zh-CN"/>
        </w:rPr>
        <w:t>北京大学汇丰商学院是唯一将总部设立在深圳的全国顶级商学院，学员可以利用北京大学的教学科研平台和深圳市的创新创业环境，参与各种高层次专业活动，搭建校友交流平台，相互交流学习、拓展视野。</w:t>
      </w:r>
    </w:p>
    <w:p>
      <w:pPr>
        <w:spacing w:before="240"/>
        <w:ind w:firstLine="640" w:firstLineChars="200"/>
        <w:rPr>
          <w:rFonts w:hint="eastAsia" w:ascii="黑体" w:hAnsi="黑体" w:eastAsia="黑体" w:cs="Times New Roman"/>
          <w:b w:val="0"/>
          <w:bCs w:val="0"/>
          <w:sz w:val="32"/>
          <w:szCs w:val="32"/>
        </w:rPr>
      </w:pPr>
      <w:bookmarkStart w:id="10" w:name="_GoBack"/>
      <w:r>
        <w:rPr>
          <w:rFonts w:hint="eastAsia" w:ascii="黑体" w:hAnsi="黑体" w:eastAsia="黑体" w:cs="Times New Roman"/>
          <w:b w:val="0"/>
          <w:bCs w:val="0"/>
          <w:sz w:val="32"/>
          <w:szCs w:val="32"/>
          <w:lang w:eastAsia="zh-CN"/>
        </w:rPr>
        <w:t>四</w:t>
      </w:r>
      <w:r>
        <w:rPr>
          <w:rFonts w:hint="eastAsia" w:ascii="黑体" w:hAnsi="黑体" w:eastAsia="黑体" w:cs="Times New Roman"/>
          <w:b w:val="0"/>
          <w:bCs w:val="0"/>
          <w:sz w:val="32"/>
          <w:szCs w:val="32"/>
        </w:rPr>
        <w:t>、项目管理团队介绍</w:t>
      </w:r>
    </w:p>
    <w:bookmarkEnd w:id="10"/>
    <w:tbl>
      <w:tblPr>
        <w:tblStyle w:val="8"/>
        <w:tblW w:w="8375" w:type="dxa"/>
        <w:tblInd w:w="0" w:type="dxa"/>
        <w:tblLayout w:type="autofit"/>
        <w:tblCellMar>
          <w:top w:w="0" w:type="dxa"/>
          <w:left w:w="108" w:type="dxa"/>
          <w:bottom w:w="0" w:type="dxa"/>
          <w:right w:w="108" w:type="dxa"/>
        </w:tblCellMar>
      </w:tblPr>
      <w:tblGrid>
        <w:gridCol w:w="1819"/>
        <w:gridCol w:w="3934"/>
        <w:gridCol w:w="2622"/>
      </w:tblGrid>
      <w:tr>
        <w:tblPrEx>
          <w:tblCellMar>
            <w:top w:w="0" w:type="dxa"/>
            <w:left w:w="108" w:type="dxa"/>
            <w:bottom w:w="0" w:type="dxa"/>
            <w:right w:w="108" w:type="dxa"/>
          </w:tblCellMar>
        </w:tblPrEx>
        <w:trPr>
          <w:trHeight w:val="667" w:hRule="atLeast"/>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姓名</w:t>
            </w:r>
          </w:p>
        </w:tc>
        <w:tc>
          <w:tcPr>
            <w:tcW w:w="39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职责</w:t>
            </w:r>
          </w:p>
        </w:tc>
        <w:tc>
          <w:tcPr>
            <w:tcW w:w="26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简介</w:t>
            </w:r>
          </w:p>
        </w:tc>
      </w:tr>
      <w:tr>
        <w:tblPrEx>
          <w:tblCellMar>
            <w:top w:w="0" w:type="dxa"/>
            <w:left w:w="108" w:type="dxa"/>
            <w:bottom w:w="0" w:type="dxa"/>
            <w:right w:w="108" w:type="dxa"/>
          </w:tblCellMar>
        </w:tblPrEx>
        <w:trPr>
          <w:trHeight w:val="593" w:hRule="atLeast"/>
        </w:trPr>
        <w:tc>
          <w:tcPr>
            <w:tcW w:w="1819"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eastAsia" w:ascii="仿宋" w:hAnsi="仿宋" w:eastAsia="仿宋" w:cs="仿宋"/>
                <w:color w:val="000000"/>
                <w:kern w:val="0"/>
                <w:sz w:val="24"/>
                <w:szCs w:val="24"/>
              </w:rPr>
            </w:pPr>
            <w:r>
              <w:rPr>
                <w:rFonts w:hint="eastAsia" w:ascii="仿宋" w:hAnsi="仿宋" w:eastAsia="仿宋" w:cs="仿宋"/>
                <w:b/>
                <w:sz w:val="24"/>
                <w:szCs w:val="24"/>
              </w:rPr>
              <w:t>刘时聿</w:t>
            </w:r>
          </w:p>
        </w:tc>
        <w:tc>
          <w:tcPr>
            <w:tcW w:w="3934" w:type="dxa"/>
            <w:tcBorders>
              <w:top w:val="nil"/>
              <w:left w:val="single" w:color="auto" w:sz="4" w:space="0"/>
              <w:bottom w:val="single" w:color="000000" w:sz="4" w:space="0"/>
              <w:right w:val="single" w:color="auto" w:sz="4" w:space="0"/>
            </w:tcBorders>
            <w:shd w:val="clear" w:color="auto" w:fill="auto"/>
            <w:vAlign w:val="center"/>
          </w:tcPr>
          <w:p>
            <w:pPr>
              <w:spacing w:line="276" w:lineRule="auto"/>
              <w:jc w:val="left"/>
              <w:rPr>
                <w:rFonts w:hint="eastAsia" w:ascii="仿宋" w:hAnsi="仿宋" w:eastAsia="仿宋" w:cs="仿宋"/>
                <w:b/>
                <w:sz w:val="24"/>
                <w:szCs w:val="24"/>
              </w:rPr>
            </w:pPr>
            <w:r>
              <w:rPr>
                <w:rFonts w:hint="eastAsia" w:ascii="仿宋" w:hAnsi="仿宋" w:eastAsia="仿宋" w:cs="仿宋"/>
                <w:b/>
                <w:sz w:val="24"/>
                <w:szCs w:val="24"/>
              </w:rPr>
              <w:t>项目负责人/班主任：</w:t>
            </w:r>
          </w:p>
          <w:p>
            <w:pPr>
              <w:spacing w:line="276" w:lineRule="auto"/>
              <w:jc w:val="left"/>
              <w:rPr>
                <w:rFonts w:hint="eastAsia" w:ascii="仿宋" w:hAnsi="仿宋" w:eastAsia="仿宋" w:cs="仿宋"/>
                <w:color w:val="000000"/>
                <w:kern w:val="0"/>
                <w:sz w:val="24"/>
                <w:szCs w:val="24"/>
              </w:rPr>
            </w:pPr>
            <w:r>
              <w:rPr>
                <w:rFonts w:hint="eastAsia" w:ascii="仿宋" w:hAnsi="仿宋" w:eastAsia="仿宋" w:cs="仿宋"/>
                <w:sz w:val="24"/>
                <w:szCs w:val="24"/>
              </w:rPr>
              <w:t>负责项目开始前课程项目执行方案总策划、项目培训过程中的突出情况处理、项目完结后的跟踪回访等。</w:t>
            </w:r>
          </w:p>
        </w:tc>
        <w:tc>
          <w:tcPr>
            <w:tcW w:w="2622" w:type="dxa"/>
            <w:tcBorders>
              <w:top w:val="nil"/>
              <w:left w:val="nil"/>
              <w:bottom w:val="single" w:color="auto" w:sz="4" w:space="0"/>
              <w:right w:val="single" w:color="auto" w:sz="4" w:space="0"/>
            </w:tcBorders>
            <w:shd w:val="clear" w:color="auto" w:fill="auto"/>
            <w:vAlign w:val="center"/>
          </w:tcPr>
          <w:p>
            <w:pPr>
              <w:spacing w:line="276" w:lineRule="auto"/>
              <w:jc w:val="center"/>
              <w:rPr>
                <w:rFonts w:hint="eastAsia" w:ascii="仿宋" w:hAnsi="仿宋" w:eastAsia="仿宋" w:cs="仿宋"/>
                <w:color w:val="000000"/>
                <w:kern w:val="0"/>
                <w:sz w:val="24"/>
                <w:szCs w:val="24"/>
              </w:rPr>
            </w:pPr>
            <w:r>
              <w:rPr>
                <w:rFonts w:hint="eastAsia" w:ascii="仿宋" w:hAnsi="仿宋" w:eastAsia="仿宋" w:cs="仿宋"/>
                <w:sz w:val="24"/>
                <w:szCs w:val="24"/>
              </w:rPr>
              <w:t>北京大学汇丰商学院EDP项目副主任，办公室主任，十年以上管理经验。</w:t>
            </w:r>
          </w:p>
        </w:tc>
      </w:tr>
      <w:tr>
        <w:tblPrEx>
          <w:tblCellMar>
            <w:top w:w="0" w:type="dxa"/>
            <w:left w:w="108" w:type="dxa"/>
            <w:bottom w:w="0" w:type="dxa"/>
            <w:right w:w="108" w:type="dxa"/>
          </w:tblCellMar>
        </w:tblPrEx>
        <w:trPr>
          <w:trHeight w:val="593" w:hRule="atLeast"/>
        </w:trPr>
        <w:tc>
          <w:tcPr>
            <w:tcW w:w="1819" w:type="dxa"/>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kern w:val="0"/>
                <w:sz w:val="24"/>
                <w:szCs w:val="24"/>
              </w:rPr>
            </w:pPr>
            <w:r>
              <w:rPr>
                <w:rFonts w:hint="eastAsia" w:ascii="仿宋" w:hAnsi="仿宋" w:eastAsia="仿宋" w:cs="仿宋"/>
                <w:b/>
                <w:sz w:val="24"/>
                <w:szCs w:val="24"/>
              </w:rPr>
              <w:t>叶潺</w:t>
            </w:r>
          </w:p>
        </w:tc>
        <w:tc>
          <w:tcPr>
            <w:tcW w:w="3934" w:type="dxa"/>
            <w:tcBorders>
              <w:top w:val="nil"/>
              <w:left w:val="single" w:color="auto" w:sz="4" w:space="0"/>
              <w:bottom w:val="single" w:color="000000" w:sz="4" w:space="0"/>
              <w:right w:val="single" w:color="auto" w:sz="4" w:space="0"/>
            </w:tcBorders>
            <w:shd w:val="clear" w:color="auto" w:fill="auto"/>
            <w:vAlign w:val="center"/>
          </w:tcPr>
          <w:p>
            <w:pPr>
              <w:spacing w:line="276" w:lineRule="auto"/>
              <w:jc w:val="left"/>
              <w:rPr>
                <w:rFonts w:hint="eastAsia" w:ascii="仿宋" w:hAnsi="仿宋" w:eastAsia="仿宋" w:cs="仿宋"/>
                <w:b/>
                <w:sz w:val="24"/>
                <w:szCs w:val="24"/>
              </w:rPr>
            </w:pPr>
            <w:r>
              <w:rPr>
                <w:rFonts w:hint="eastAsia" w:ascii="仿宋" w:hAnsi="仿宋" w:eastAsia="仿宋" w:cs="仿宋"/>
                <w:b/>
                <w:sz w:val="24"/>
                <w:szCs w:val="24"/>
              </w:rPr>
              <w:t>副班主任：</w:t>
            </w:r>
          </w:p>
          <w:p>
            <w:pPr>
              <w:spacing w:line="276" w:lineRule="auto"/>
              <w:jc w:val="left"/>
              <w:rPr>
                <w:rFonts w:hint="eastAsia" w:ascii="仿宋" w:hAnsi="仿宋" w:eastAsia="仿宋" w:cs="仿宋"/>
                <w:color w:val="000000"/>
                <w:kern w:val="0"/>
                <w:sz w:val="24"/>
                <w:szCs w:val="24"/>
              </w:rPr>
            </w:pPr>
            <w:r>
              <w:rPr>
                <w:rFonts w:hint="eastAsia" w:ascii="仿宋" w:hAnsi="仿宋" w:eastAsia="仿宋" w:cs="仿宋"/>
                <w:sz w:val="24"/>
                <w:szCs w:val="24"/>
              </w:rPr>
              <w:t>负责协助班主任进行班级管理，包含培训课程的准备及实施，考勤监督、组织班级活动，学员评分系统记录等。</w:t>
            </w:r>
          </w:p>
        </w:tc>
        <w:tc>
          <w:tcPr>
            <w:tcW w:w="2622" w:type="dxa"/>
            <w:tcBorders>
              <w:top w:val="nil"/>
              <w:left w:val="nil"/>
              <w:bottom w:val="single" w:color="auto" w:sz="4" w:space="0"/>
              <w:right w:val="single" w:color="auto" w:sz="4" w:space="0"/>
            </w:tcBorders>
            <w:shd w:val="clear" w:color="auto" w:fill="auto"/>
            <w:vAlign w:val="center"/>
          </w:tcPr>
          <w:p>
            <w:pPr>
              <w:spacing w:line="276" w:lineRule="auto"/>
              <w:jc w:val="center"/>
              <w:rPr>
                <w:rFonts w:hint="eastAsia" w:ascii="仿宋" w:hAnsi="仿宋" w:eastAsia="仿宋" w:cs="仿宋"/>
                <w:color w:val="000000"/>
                <w:kern w:val="0"/>
                <w:sz w:val="24"/>
                <w:szCs w:val="24"/>
              </w:rPr>
            </w:pPr>
            <w:r>
              <w:rPr>
                <w:rFonts w:hint="eastAsia" w:ascii="仿宋" w:hAnsi="仿宋" w:eastAsia="仿宋" w:cs="仿宋"/>
                <w:sz w:val="24"/>
                <w:szCs w:val="24"/>
              </w:rPr>
              <w:t>北京大学汇丰商学院EDP项目招生主管</w:t>
            </w:r>
          </w:p>
        </w:tc>
      </w:tr>
      <w:tr>
        <w:tblPrEx>
          <w:tblCellMar>
            <w:top w:w="0" w:type="dxa"/>
            <w:left w:w="108" w:type="dxa"/>
            <w:bottom w:w="0" w:type="dxa"/>
            <w:right w:w="108" w:type="dxa"/>
          </w:tblCellMar>
        </w:tblPrEx>
        <w:trPr>
          <w:trHeight w:val="593" w:hRule="atLeast"/>
        </w:trPr>
        <w:tc>
          <w:tcPr>
            <w:tcW w:w="1819" w:type="dxa"/>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kern w:val="0"/>
                <w:sz w:val="24"/>
                <w:szCs w:val="24"/>
              </w:rPr>
            </w:pPr>
            <w:r>
              <w:rPr>
                <w:rFonts w:hint="eastAsia" w:ascii="仿宋" w:hAnsi="仿宋" w:eastAsia="仿宋" w:cs="仿宋"/>
                <w:b/>
                <w:sz w:val="24"/>
                <w:szCs w:val="24"/>
              </w:rPr>
              <w:t>王又婷</w:t>
            </w:r>
          </w:p>
        </w:tc>
        <w:tc>
          <w:tcPr>
            <w:tcW w:w="3934" w:type="dxa"/>
            <w:tcBorders>
              <w:top w:val="nil"/>
              <w:left w:val="single" w:color="auto" w:sz="4" w:space="0"/>
              <w:bottom w:val="single" w:color="000000" w:sz="4" w:space="0"/>
              <w:right w:val="single" w:color="auto" w:sz="4" w:space="0"/>
            </w:tcBorders>
            <w:shd w:val="clear" w:color="auto" w:fill="auto"/>
            <w:vAlign w:val="center"/>
          </w:tcPr>
          <w:p>
            <w:pPr>
              <w:spacing w:line="276" w:lineRule="auto"/>
              <w:jc w:val="left"/>
              <w:rPr>
                <w:rFonts w:hint="eastAsia" w:ascii="仿宋" w:hAnsi="仿宋" w:eastAsia="仿宋" w:cs="仿宋"/>
                <w:b/>
                <w:sz w:val="24"/>
                <w:szCs w:val="24"/>
              </w:rPr>
            </w:pPr>
            <w:r>
              <w:rPr>
                <w:rFonts w:hint="eastAsia" w:ascii="仿宋" w:hAnsi="仿宋" w:eastAsia="仿宋" w:cs="仿宋"/>
                <w:b/>
                <w:sz w:val="24"/>
                <w:szCs w:val="24"/>
              </w:rPr>
              <w:t>副班主任：</w:t>
            </w:r>
          </w:p>
          <w:p>
            <w:pPr>
              <w:spacing w:line="276" w:lineRule="auto"/>
              <w:jc w:val="left"/>
              <w:rPr>
                <w:rFonts w:hint="eastAsia" w:ascii="仿宋" w:hAnsi="仿宋" w:eastAsia="仿宋" w:cs="仿宋"/>
                <w:color w:val="000000"/>
                <w:kern w:val="0"/>
                <w:sz w:val="24"/>
                <w:szCs w:val="24"/>
              </w:rPr>
            </w:pPr>
            <w:r>
              <w:rPr>
                <w:rFonts w:hint="eastAsia" w:ascii="仿宋" w:hAnsi="仿宋" w:eastAsia="仿宋" w:cs="仿宋"/>
                <w:sz w:val="24"/>
                <w:szCs w:val="24"/>
              </w:rPr>
              <w:t>负责协助班主任进行班级管理，包含培训课程的准备及实施，考勤监督、组织班级活动，学员评分系统记录等。</w:t>
            </w:r>
          </w:p>
        </w:tc>
        <w:tc>
          <w:tcPr>
            <w:tcW w:w="2622" w:type="dxa"/>
            <w:tcBorders>
              <w:top w:val="nil"/>
              <w:left w:val="nil"/>
              <w:bottom w:val="single" w:color="auto" w:sz="4" w:space="0"/>
              <w:right w:val="single" w:color="auto" w:sz="4" w:space="0"/>
            </w:tcBorders>
            <w:shd w:val="clear" w:color="auto" w:fill="auto"/>
            <w:vAlign w:val="center"/>
          </w:tcPr>
          <w:p>
            <w:pPr>
              <w:spacing w:line="276" w:lineRule="auto"/>
              <w:jc w:val="center"/>
              <w:rPr>
                <w:rFonts w:hint="eastAsia" w:ascii="仿宋" w:hAnsi="仿宋" w:eastAsia="仿宋" w:cs="仿宋"/>
                <w:color w:val="000000"/>
                <w:kern w:val="0"/>
                <w:sz w:val="24"/>
                <w:szCs w:val="24"/>
              </w:rPr>
            </w:pPr>
            <w:r>
              <w:rPr>
                <w:rFonts w:hint="eastAsia" w:ascii="仿宋" w:hAnsi="仿宋" w:eastAsia="仿宋" w:cs="仿宋"/>
                <w:sz w:val="24"/>
                <w:szCs w:val="24"/>
              </w:rPr>
              <w:t>北京大学汇丰商学院EDP项目招生主管</w:t>
            </w:r>
          </w:p>
        </w:tc>
      </w:tr>
      <w:tr>
        <w:tblPrEx>
          <w:tblCellMar>
            <w:top w:w="0" w:type="dxa"/>
            <w:left w:w="108" w:type="dxa"/>
            <w:bottom w:w="0" w:type="dxa"/>
            <w:right w:w="108" w:type="dxa"/>
          </w:tblCellMar>
        </w:tblPrEx>
        <w:trPr>
          <w:trHeight w:val="593" w:hRule="atLeast"/>
        </w:trPr>
        <w:tc>
          <w:tcPr>
            <w:tcW w:w="1819" w:type="dxa"/>
            <w:tcBorders>
              <w:top w:val="nil"/>
              <w:left w:val="single" w:color="auto" w:sz="4" w:space="0"/>
              <w:bottom w:val="nil"/>
              <w:right w:val="single" w:color="auto" w:sz="4" w:space="0"/>
            </w:tcBorders>
            <w:shd w:val="clear" w:color="auto" w:fill="auto"/>
            <w:vAlign w:val="center"/>
          </w:tcPr>
          <w:p>
            <w:pPr>
              <w:spacing w:line="360" w:lineRule="auto"/>
              <w:jc w:val="center"/>
              <w:rPr>
                <w:rFonts w:hint="eastAsia" w:ascii="仿宋" w:hAnsi="仿宋" w:eastAsia="仿宋" w:cs="仿宋"/>
                <w:color w:val="000000"/>
                <w:kern w:val="0"/>
                <w:sz w:val="24"/>
                <w:szCs w:val="24"/>
                <w:lang w:val="en-US" w:eastAsia="zh-CN"/>
              </w:rPr>
            </w:pPr>
            <w:r>
              <w:rPr>
                <w:rFonts w:hint="eastAsia" w:ascii="仿宋" w:hAnsi="仿宋" w:eastAsia="仿宋" w:cs="仿宋"/>
                <w:b/>
                <w:sz w:val="24"/>
                <w:szCs w:val="24"/>
              </w:rPr>
              <w:t>陈晶哲</w:t>
            </w:r>
          </w:p>
        </w:tc>
        <w:tc>
          <w:tcPr>
            <w:tcW w:w="3934" w:type="dxa"/>
            <w:tcBorders>
              <w:top w:val="nil"/>
              <w:left w:val="single" w:color="auto" w:sz="4" w:space="0"/>
              <w:bottom w:val="nil"/>
              <w:right w:val="single" w:color="auto" w:sz="4" w:space="0"/>
            </w:tcBorders>
            <w:shd w:val="clear" w:color="auto" w:fill="auto"/>
            <w:vAlign w:val="center"/>
          </w:tcPr>
          <w:p>
            <w:pPr>
              <w:spacing w:line="276" w:lineRule="auto"/>
              <w:jc w:val="left"/>
              <w:rPr>
                <w:rFonts w:hint="eastAsia" w:ascii="仿宋" w:hAnsi="仿宋" w:eastAsia="仿宋" w:cs="仿宋"/>
                <w:b/>
                <w:sz w:val="24"/>
                <w:szCs w:val="24"/>
              </w:rPr>
            </w:pPr>
            <w:r>
              <w:rPr>
                <w:rFonts w:hint="eastAsia" w:ascii="仿宋" w:hAnsi="仿宋" w:eastAsia="仿宋" w:cs="仿宋"/>
                <w:b/>
                <w:sz w:val="24"/>
                <w:szCs w:val="24"/>
              </w:rPr>
              <w:t>教学老师：</w:t>
            </w:r>
          </w:p>
          <w:p>
            <w:pPr>
              <w:spacing w:line="276" w:lineRule="auto"/>
              <w:jc w:val="left"/>
              <w:rPr>
                <w:rFonts w:hint="eastAsia" w:ascii="仿宋" w:hAnsi="仿宋" w:eastAsia="仿宋" w:cs="仿宋"/>
                <w:color w:val="000000"/>
                <w:kern w:val="0"/>
                <w:sz w:val="24"/>
                <w:szCs w:val="24"/>
              </w:rPr>
            </w:pPr>
            <w:r>
              <w:rPr>
                <w:rFonts w:hint="eastAsia" w:ascii="仿宋" w:hAnsi="仿宋" w:eastAsia="仿宋" w:cs="仿宋"/>
                <w:sz w:val="24"/>
                <w:szCs w:val="24"/>
              </w:rPr>
              <w:t>学员对课程的要求及时反馈给老师，协助老师调整课程框架及增加行业相关案例剖析，安排有针对性的课程讲义。</w:t>
            </w:r>
          </w:p>
        </w:tc>
        <w:tc>
          <w:tcPr>
            <w:tcW w:w="2622" w:type="dxa"/>
            <w:tcBorders>
              <w:top w:val="nil"/>
              <w:left w:val="nil"/>
              <w:bottom w:val="nil"/>
              <w:right w:val="single" w:color="auto" w:sz="4" w:space="0"/>
            </w:tcBorders>
            <w:shd w:val="clear" w:color="auto" w:fill="auto"/>
            <w:vAlign w:val="center"/>
          </w:tcPr>
          <w:p>
            <w:pPr>
              <w:spacing w:line="276" w:lineRule="auto"/>
              <w:jc w:val="center"/>
              <w:rPr>
                <w:rFonts w:hint="eastAsia" w:ascii="仿宋" w:hAnsi="仿宋" w:eastAsia="仿宋" w:cs="仿宋"/>
                <w:color w:val="000000"/>
                <w:kern w:val="0"/>
                <w:sz w:val="24"/>
                <w:szCs w:val="24"/>
              </w:rPr>
            </w:pPr>
            <w:r>
              <w:rPr>
                <w:rFonts w:hint="eastAsia" w:ascii="仿宋" w:hAnsi="仿宋" w:eastAsia="仿宋" w:cs="仿宋"/>
                <w:sz w:val="24"/>
                <w:szCs w:val="24"/>
              </w:rPr>
              <w:t>北京大学汇丰商学院EDP项目教学老师</w:t>
            </w:r>
          </w:p>
        </w:tc>
      </w:tr>
      <w:tr>
        <w:tblPrEx>
          <w:tblCellMar>
            <w:top w:w="0" w:type="dxa"/>
            <w:left w:w="108" w:type="dxa"/>
            <w:bottom w:w="0" w:type="dxa"/>
            <w:right w:w="108" w:type="dxa"/>
          </w:tblCellMar>
        </w:tblPrEx>
        <w:trPr>
          <w:trHeight w:val="593" w:hRule="atLeast"/>
        </w:trPr>
        <w:tc>
          <w:tcPr>
            <w:tcW w:w="1819" w:type="dxa"/>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000000"/>
                <w:kern w:val="0"/>
                <w:sz w:val="24"/>
                <w:szCs w:val="24"/>
                <w:lang w:val="en-US" w:eastAsia="zh-CN"/>
              </w:rPr>
            </w:pPr>
            <w:r>
              <w:rPr>
                <w:rFonts w:hint="eastAsia" w:ascii="仿宋" w:hAnsi="仿宋" w:eastAsia="仿宋" w:cs="仿宋"/>
                <w:b/>
                <w:sz w:val="24"/>
                <w:szCs w:val="24"/>
              </w:rPr>
              <w:t>关惠云</w:t>
            </w:r>
          </w:p>
        </w:tc>
        <w:tc>
          <w:tcPr>
            <w:tcW w:w="3934" w:type="dxa"/>
            <w:tcBorders>
              <w:top w:val="nil"/>
              <w:left w:val="single" w:color="auto" w:sz="4" w:space="0"/>
              <w:bottom w:val="single" w:color="000000" w:sz="4" w:space="0"/>
              <w:right w:val="single" w:color="auto" w:sz="4" w:space="0"/>
            </w:tcBorders>
            <w:shd w:val="clear" w:color="auto" w:fill="auto"/>
            <w:vAlign w:val="center"/>
          </w:tcPr>
          <w:p>
            <w:pPr>
              <w:spacing w:line="276" w:lineRule="auto"/>
              <w:jc w:val="left"/>
              <w:rPr>
                <w:rFonts w:hint="eastAsia" w:ascii="仿宋" w:hAnsi="仿宋" w:eastAsia="仿宋" w:cs="仿宋"/>
                <w:b/>
                <w:sz w:val="24"/>
                <w:szCs w:val="24"/>
              </w:rPr>
            </w:pPr>
            <w:r>
              <w:rPr>
                <w:rFonts w:hint="eastAsia" w:ascii="仿宋" w:hAnsi="仿宋" w:eastAsia="仿宋" w:cs="仿宋"/>
                <w:b/>
                <w:sz w:val="24"/>
                <w:szCs w:val="24"/>
              </w:rPr>
              <w:t>教务老师：</w:t>
            </w:r>
          </w:p>
          <w:p>
            <w:pPr>
              <w:spacing w:line="276" w:lineRule="auto"/>
              <w:jc w:val="left"/>
              <w:rPr>
                <w:rFonts w:hint="eastAsia" w:ascii="仿宋" w:hAnsi="仿宋" w:eastAsia="仿宋" w:cs="仿宋"/>
                <w:color w:val="000000"/>
                <w:kern w:val="0"/>
                <w:sz w:val="24"/>
                <w:szCs w:val="24"/>
              </w:rPr>
            </w:pPr>
            <w:r>
              <w:rPr>
                <w:rFonts w:hint="eastAsia" w:ascii="仿宋" w:hAnsi="仿宋" w:eastAsia="仿宋" w:cs="仿宋"/>
                <w:sz w:val="24"/>
                <w:szCs w:val="24"/>
              </w:rPr>
              <w:t>负责安排教室、教学设备调试、茶歇、学习用品及学习资料准备等相关教学准备活动。</w:t>
            </w:r>
          </w:p>
        </w:tc>
        <w:tc>
          <w:tcPr>
            <w:tcW w:w="2622" w:type="dxa"/>
            <w:tcBorders>
              <w:top w:val="nil"/>
              <w:left w:val="nil"/>
              <w:bottom w:val="single" w:color="auto" w:sz="4" w:space="0"/>
              <w:right w:val="single" w:color="auto" w:sz="4" w:space="0"/>
            </w:tcBorders>
            <w:shd w:val="clear" w:color="auto" w:fill="auto"/>
            <w:vAlign w:val="center"/>
          </w:tcPr>
          <w:p>
            <w:pPr>
              <w:spacing w:line="276" w:lineRule="auto"/>
              <w:jc w:val="center"/>
              <w:rPr>
                <w:rFonts w:hint="eastAsia" w:ascii="仿宋" w:hAnsi="仿宋" w:eastAsia="仿宋" w:cs="仿宋"/>
                <w:color w:val="000000"/>
                <w:kern w:val="0"/>
                <w:sz w:val="24"/>
                <w:szCs w:val="24"/>
              </w:rPr>
            </w:pPr>
            <w:r>
              <w:rPr>
                <w:rFonts w:hint="eastAsia" w:ascii="仿宋" w:hAnsi="仿宋" w:eastAsia="仿宋" w:cs="仿宋"/>
                <w:sz w:val="24"/>
                <w:szCs w:val="24"/>
              </w:rPr>
              <w:t>北京大学汇丰商学院EDP项目教</w:t>
            </w:r>
            <w:r>
              <w:rPr>
                <w:rFonts w:hint="eastAsia" w:ascii="仿宋" w:hAnsi="仿宋" w:eastAsia="仿宋" w:cs="仿宋"/>
                <w:sz w:val="24"/>
                <w:szCs w:val="24"/>
                <w:lang w:val="en-US" w:eastAsia="zh-CN"/>
              </w:rPr>
              <w:t>务</w:t>
            </w:r>
            <w:r>
              <w:rPr>
                <w:rFonts w:hint="eastAsia" w:ascii="仿宋" w:hAnsi="仿宋" w:eastAsia="仿宋" w:cs="仿宋"/>
                <w:sz w:val="24"/>
                <w:szCs w:val="24"/>
              </w:rPr>
              <w:t>老师</w:t>
            </w:r>
          </w:p>
        </w:tc>
      </w:tr>
    </w:tbl>
    <w:p>
      <w:pPr>
        <w:pStyle w:val="2"/>
        <w:numPr>
          <w:ilvl w:val="0"/>
          <w:numId w:val="0"/>
        </w:numPr>
        <w:ind w:leftChars="0"/>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907726C-C13C-4AA7-B59F-B24E56EA889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C5070FC5-3230-498C-BAF5-D8F632F937A4}"/>
  </w:font>
  <w:font w:name="幼圆">
    <w:panose1 w:val="02010509060101010101"/>
    <w:charset w:val="86"/>
    <w:family w:val="modern"/>
    <w:pitch w:val="default"/>
    <w:sig w:usb0="00000001" w:usb1="080E0000" w:usb2="00000000" w:usb3="00000000" w:csb0="00040000" w:csb1="00000000"/>
    <w:embedRegular r:id="rId3" w:fontKey="{BB85536F-5935-483A-B518-80165A010418}"/>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2716B26C-07B1-41BF-9039-996040275283}"/>
  </w:font>
  <w:font w:name="楷体">
    <w:panose1 w:val="02010609060101010101"/>
    <w:charset w:val="86"/>
    <w:family w:val="modern"/>
    <w:pitch w:val="default"/>
    <w:sig w:usb0="800002BF" w:usb1="38CF7CFA" w:usb2="00000016" w:usb3="00000000" w:csb0="00040001" w:csb1="00000000"/>
    <w:embedRegular r:id="rId5" w:fontKey="{ED50D831-5BD2-4B1B-A120-F458AC988A6E}"/>
  </w:font>
  <w:font w:name="仿宋">
    <w:panose1 w:val="02010609060101010101"/>
    <w:charset w:val="86"/>
    <w:family w:val="auto"/>
    <w:pitch w:val="default"/>
    <w:sig w:usb0="800002BF" w:usb1="38CF7CFA" w:usb2="00000016" w:usb3="00000000" w:csb0="00040001" w:csb1="00000000"/>
    <w:embedRegular r:id="rId6" w:fontKey="{FB0BC656-C709-4FEC-B5DF-E66B6DD7D4EF}"/>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7" w:fontKey="{AB566F70-0357-45F3-BA0F-E455F69A68D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C37DF9"/>
    <w:multiLevelType w:val="multilevel"/>
    <w:tmpl w:val="72C37DF9"/>
    <w:lvl w:ilvl="0" w:tentative="0">
      <w:start w:val="1"/>
      <w:numFmt w:val="chineseCountingThousand"/>
      <w:pStyle w:val="2"/>
      <w:lvlText w:val="%1、"/>
      <w:lvlJc w:val="left"/>
      <w:pPr>
        <w:ind w:left="420" w:hanging="420"/>
      </w:pPr>
      <w:rPr>
        <w:rFonts w:hint="eastAsia"/>
      </w:rPr>
    </w:lvl>
    <w:lvl w:ilvl="1" w:tentative="0">
      <w:start w:val="1"/>
      <w:numFmt w:val="decimal"/>
      <w:isLg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kyYzEyOTZhNTg4MWZiM2E5ODAxMDVlMTFhZjc0ZWQifQ=="/>
  </w:docVars>
  <w:rsids>
    <w:rsidRoot w:val="00E05B87"/>
    <w:rsid w:val="00003B1F"/>
    <w:rsid w:val="000118E1"/>
    <w:rsid w:val="00045E3E"/>
    <w:rsid w:val="000A3BAE"/>
    <w:rsid w:val="000D33A1"/>
    <w:rsid w:val="000D5DDF"/>
    <w:rsid w:val="000E1F5C"/>
    <w:rsid w:val="000E6657"/>
    <w:rsid w:val="00100B87"/>
    <w:rsid w:val="001262EB"/>
    <w:rsid w:val="0013427E"/>
    <w:rsid w:val="00140863"/>
    <w:rsid w:val="0015050F"/>
    <w:rsid w:val="001B23FA"/>
    <w:rsid w:val="001E270E"/>
    <w:rsid w:val="001F0E3C"/>
    <w:rsid w:val="00226D89"/>
    <w:rsid w:val="002611BB"/>
    <w:rsid w:val="00297FFC"/>
    <w:rsid w:val="002C0B8A"/>
    <w:rsid w:val="002E2E72"/>
    <w:rsid w:val="00361718"/>
    <w:rsid w:val="00382893"/>
    <w:rsid w:val="00392BF1"/>
    <w:rsid w:val="003A1D0F"/>
    <w:rsid w:val="003C3CD7"/>
    <w:rsid w:val="003C51D3"/>
    <w:rsid w:val="003C5624"/>
    <w:rsid w:val="003D16BE"/>
    <w:rsid w:val="003D2A3F"/>
    <w:rsid w:val="003F18E5"/>
    <w:rsid w:val="0040195F"/>
    <w:rsid w:val="00414295"/>
    <w:rsid w:val="0042791E"/>
    <w:rsid w:val="004559FA"/>
    <w:rsid w:val="004603EC"/>
    <w:rsid w:val="00483837"/>
    <w:rsid w:val="004E3DE7"/>
    <w:rsid w:val="00503F72"/>
    <w:rsid w:val="00506945"/>
    <w:rsid w:val="00534C7A"/>
    <w:rsid w:val="0054125E"/>
    <w:rsid w:val="00552E47"/>
    <w:rsid w:val="00555FEA"/>
    <w:rsid w:val="00560A31"/>
    <w:rsid w:val="00595B15"/>
    <w:rsid w:val="005F1924"/>
    <w:rsid w:val="00603576"/>
    <w:rsid w:val="00630D75"/>
    <w:rsid w:val="00637CC2"/>
    <w:rsid w:val="00666D80"/>
    <w:rsid w:val="006D6EF1"/>
    <w:rsid w:val="0070569B"/>
    <w:rsid w:val="0073299E"/>
    <w:rsid w:val="00777EA7"/>
    <w:rsid w:val="007943B4"/>
    <w:rsid w:val="007B362B"/>
    <w:rsid w:val="007D73E8"/>
    <w:rsid w:val="008027A7"/>
    <w:rsid w:val="00807401"/>
    <w:rsid w:val="00820558"/>
    <w:rsid w:val="00841C5C"/>
    <w:rsid w:val="00844B7B"/>
    <w:rsid w:val="008478C3"/>
    <w:rsid w:val="00866DA6"/>
    <w:rsid w:val="00890AA9"/>
    <w:rsid w:val="008B1974"/>
    <w:rsid w:val="008B26B5"/>
    <w:rsid w:val="008B4469"/>
    <w:rsid w:val="008F1486"/>
    <w:rsid w:val="008F784F"/>
    <w:rsid w:val="009175F3"/>
    <w:rsid w:val="009904D9"/>
    <w:rsid w:val="009B0FEE"/>
    <w:rsid w:val="009C533E"/>
    <w:rsid w:val="00A13EB1"/>
    <w:rsid w:val="00A51D12"/>
    <w:rsid w:val="00A56F7F"/>
    <w:rsid w:val="00B12800"/>
    <w:rsid w:val="00B52234"/>
    <w:rsid w:val="00B52DB6"/>
    <w:rsid w:val="00B55063"/>
    <w:rsid w:val="00B92030"/>
    <w:rsid w:val="00BD5D4A"/>
    <w:rsid w:val="00C02F9E"/>
    <w:rsid w:val="00C354DC"/>
    <w:rsid w:val="00C8494F"/>
    <w:rsid w:val="00C86C89"/>
    <w:rsid w:val="00CA6625"/>
    <w:rsid w:val="00CC006F"/>
    <w:rsid w:val="00CD2ECF"/>
    <w:rsid w:val="00CE2470"/>
    <w:rsid w:val="00D155BD"/>
    <w:rsid w:val="00D225DC"/>
    <w:rsid w:val="00D52676"/>
    <w:rsid w:val="00D660DB"/>
    <w:rsid w:val="00D9001C"/>
    <w:rsid w:val="00DC06AC"/>
    <w:rsid w:val="00DC400B"/>
    <w:rsid w:val="00DF5FD6"/>
    <w:rsid w:val="00E037A7"/>
    <w:rsid w:val="00E05B87"/>
    <w:rsid w:val="00E8137A"/>
    <w:rsid w:val="00E94412"/>
    <w:rsid w:val="00EC4F8F"/>
    <w:rsid w:val="00EF332A"/>
    <w:rsid w:val="00F0696A"/>
    <w:rsid w:val="00F41C45"/>
    <w:rsid w:val="00F549F2"/>
    <w:rsid w:val="00F549F4"/>
    <w:rsid w:val="00F8182B"/>
    <w:rsid w:val="00F85D50"/>
    <w:rsid w:val="00FB5E12"/>
    <w:rsid w:val="00FC64C0"/>
    <w:rsid w:val="00FC6C07"/>
    <w:rsid w:val="01163A7D"/>
    <w:rsid w:val="01BC39EC"/>
    <w:rsid w:val="06571A46"/>
    <w:rsid w:val="069468A4"/>
    <w:rsid w:val="095D64F2"/>
    <w:rsid w:val="0AE20145"/>
    <w:rsid w:val="0C324B95"/>
    <w:rsid w:val="0C8D3AA0"/>
    <w:rsid w:val="0F9C5147"/>
    <w:rsid w:val="115D0AF0"/>
    <w:rsid w:val="11FD4730"/>
    <w:rsid w:val="133A66A8"/>
    <w:rsid w:val="13583467"/>
    <w:rsid w:val="13F6294C"/>
    <w:rsid w:val="158B10A5"/>
    <w:rsid w:val="16592BB5"/>
    <w:rsid w:val="176531A5"/>
    <w:rsid w:val="176A1687"/>
    <w:rsid w:val="17F00513"/>
    <w:rsid w:val="182F122F"/>
    <w:rsid w:val="184B2BC3"/>
    <w:rsid w:val="19C703B7"/>
    <w:rsid w:val="1D0039EE"/>
    <w:rsid w:val="1DC70CCB"/>
    <w:rsid w:val="1EA345FB"/>
    <w:rsid w:val="1F2E6729"/>
    <w:rsid w:val="20C44971"/>
    <w:rsid w:val="210C1A01"/>
    <w:rsid w:val="213750A5"/>
    <w:rsid w:val="237E3C00"/>
    <w:rsid w:val="29542197"/>
    <w:rsid w:val="2D524193"/>
    <w:rsid w:val="2D70630A"/>
    <w:rsid w:val="2DC8262F"/>
    <w:rsid w:val="2E4B62C1"/>
    <w:rsid w:val="2EE33704"/>
    <w:rsid w:val="2F5F153D"/>
    <w:rsid w:val="306E3B3E"/>
    <w:rsid w:val="30816709"/>
    <w:rsid w:val="30FC5119"/>
    <w:rsid w:val="35D361D9"/>
    <w:rsid w:val="37EA7098"/>
    <w:rsid w:val="38B101FE"/>
    <w:rsid w:val="3A9A3A97"/>
    <w:rsid w:val="3BD5009B"/>
    <w:rsid w:val="3D603F1B"/>
    <w:rsid w:val="41917F4D"/>
    <w:rsid w:val="42F07140"/>
    <w:rsid w:val="44623DD6"/>
    <w:rsid w:val="46B16F84"/>
    <w:rsid w:val="47CD163B"/>
    <w:rsid w:val="49AE14C9"/>
    <w:rsid w:val="4A206345"/>
    <w:rsid w:val="4C9D70AF"/>
    <w:rsid w:val="50DE6667"/>
    <w:rsid w:val="510F05CE"/>
    <w:rsid w:val="52D12258"/>
    <w:rsid w:val="55E8728D"/>
    <w:rsid w:val="57D32D39"/>
    <w:rsid w:val="58925F17"/>
    <w:rsid w:val="59673F04"/>
    <w:rsid w:val="5CA50038"/>
    <w:rsid w:val="5F9572BA"/>
    <w:rsid w:val="60F11CCF"/>
    <w:rsid w:val="61F84905"/>
    <w:rsid w:val="634E7BE4"/>
    <w:rsid w:val="64C028D4"/>
    <w:rsid w:val="64FE4CEB"/>
    <w:rsid w:val="65F5506C"/>
    <w:rsid w:val="69E940B9"/>
    <w:rsid w:val="6B493ED1"/>
    <w:rsid w:val="6CF653A5"/>
    <w:rsid w:val="6E185A80"/>
    <w:rsid w:val="71724535"/>
    <w:rsid w:val="718C1369"/>
    <w:rsid w:val="7256215A"/>
    <w:rsid w:val="72A526E9"/>
    <w:rsid w:val="78491E51"/>
    <w:rsid w:val="7A3D4815"/>
    <w:rsid w:val="7ABB0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Lines/>
      <w:numPr>
        <w:ilvl w:val="0"/>
        <w:numId w:val="1"/>
      </w:numPr>
      <w:spacing w:beforeLines="50" w:afterLines="50"/>
      <w:outlineLvl w:val="0"/>
    </w:pPr>
    <w:rPr>
      <w:rFonts w:ascii="Times New Roman" w:hAnsi="Times New Roman" w:eastAsia="幼圆" w:cs="Times New Roman"/>
      <w:b/>
      <w:bCs/>
      <w:color w:val="C00000"/>
      <w:kern w:val="44"/>
      <w:sz w:val="32"/>
    </w:rPr>
  </w:style>
  <w:style w:type="paragraph" w:styleId="3">
    <w:name w:val="heading 2"/>
    <w:basedOn w:val="1"/>
    <w:next w:val="1"/>
    <w:link w:val="1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qFormat/>
    <w:uiPriority w:val="0"/>
    <w:pPr>
      <w:spacing w:before="240" w:after="60" w:line="312" w:lineRule="auto"/>
      <w:jc w:val="center"/>
      <w:outlineLvl w:val="1"/>
    </w:pPr>
    <w:rPr>
      <w:rFonts w:ascii="Calibri Light" w:hAnsi="Calibri Light" w:cs="Times New Roman"/>
      <w:b/>
      <w:bCs/>
      <w:kern w:val="28"/>
      <w:sz w:val="32"/>
      <w:szCs w:val="32"/>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rPr>
      <w:rFonts w:eastAsia="Times New Roman"/>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Strong"/>
    <w:basedOn w:val="10"/>
    <w:qFormat/>
    <w:uiPriority w:val="22"/>
    <w:rPr>
      <w:b/>
    </w:rPr>
  </w:style>
  <w:style w:type="character" w:styleId="12">
    <w:name w:val="Emphasis"/>
    <w:basedOn w:val="10"/>
    <w:qFormat/>
    <w:uiPriority w:val="20"/>
    <w:rPr>
      <w:i/>
    </w:rPr>
  </w:style>
  <w:style w:type="character" w:customStyle="1" w:styleId="13">
    <w:name w:val="页眉 字符"/>
    <w:basedOn w:val="10"/>
    <w:link w:val="5"/>
    <w:qFormat/>
    <w:uiPriority w:val="99"/>
    <w:rPr>
      <w:sz w:val="18"/>
      <w:szCs w:val="18"/>
    </w:rPr>
  </w:style>
  <w:style w:type="character" w:customStyle="1" w:styleId="14">
    <w:name w:val="页脚 字符"/>
    <w:basedOn w:val="10"/>
    <w:link w:val="4"/>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1 字符"/>
    <w:basedOn w:val="10"/>
    <w:link w:val="2"/>
    <w:qFormat/>
    <w:uiPriority w:val="0"/>
    <w:rPr>
      <w:rFonts w:ascii="Times New Roman" w:hAnsi="Times New Roman" w:eastAsia="幼圆" w:cs="Times New Roman"/>
      <w:b/>
      <w:bCs/>
      <w:color w:val="C00000"/>
      <w:kern w:val="44"/>
      <w:sz w:val="32"/>
    </w:rPr>
  </w:style>
  <w:style w:type="character" w:customStyle="1" w:styleId="17">
    <w:name w:val="标题 2 字符"/>
    <w:basedOn w:val="10"/>
    <w:link w:val="3"/>
    <w:semiHidden/>
    <w:qFormat/>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4155</Words>
  <Characters>4301</Characters>
  <Lines>9</Lines>
  <Paragraphs>2</Paragraphs>
  <TotalTime>2</TotalTime>
  <ScaleCrop>false</ScaleCrop>
  <LinksUpToDate>false</LinksUpToDate>
  <CharactersWithSpaces>4317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2022-06-16T14:34:00Z</dcterms:created>
  <dc:creator>sysu</dc:creator>
  <cp:lastModifiedBy>明明</cp:lastModifiedBy>
  <dcterms:modified xsi:type="dcterms:W3CDTF">2022-07-04T11:28:36Z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221D49BC52D84A0EAA3F2A76611C3EC4</vt:lpwstr>
  </property>
</Properties>
</file>