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C1" w:rsidRDefault="008300C1" w:rsidP="008300C1">
      <w:pPr>
        <w:spacing w:line="578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金融机构基本信用信息</w:t>
      </w:r>
    </w:p>
    <w:p w:rsidR="008300C1" w:rsidRDefault="008300C1" w:rsidP="008300C1">
      <w:pPr>
        <w:spacing w:line="578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（深圳信用网打印，含注册资本、实收资本、成立时间、股东等信息；金融类控股集团申报，其相对控股的金融企业总部的基本信用信息也需提供）；</w:t>
      </w:r>
    </w:p>
    <w:p w:rsidR="005424EA" w:rsidRPr="008300C1" w:rsidRDefault="005424EA"/>
    <w:sectPr w:rsidR="005424EA" w:rsidRPr="008300C1" w:rsidSect="00542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00C1"/>
    <w:rsid w:val="002B620F"/>
    <w:rsid w:val="005424EA"/>
    <w:rsid w:val="0083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C1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Chinese ORG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郑晓燕</dc:creator>
  <cp:lastModifiedBy>郑晓燕</cp:lastModifiedBy>
  <cp:revision>1</cp:revision>
  <dcterms:created xsi:type="dcterms:W3CDTF">2018-05-04T06:44:00Z</dcterms:created>
  <dcterms:modified xsi:type="dcterms:W3CDTF">2018-05-04T06:44:00Z</dcterms:modified>
</cp:coreProperties>
</file>